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86R10203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1372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maintaining and decommissioning certain wind-powered generation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37, Utilities Code, is amended by adding Subchapter E to read as follows:</w:t>
      </w:r>
    </w:p>
    <w:p w:rsidR="003F3435" w:rsidRDefault="0032493E">
      <w:pPr>
        <w:spacing w:line="480" w:lineRule="auto"/>
        <w:jc w:val="center"/>
      </w:pPr>
      <w:r>
        <w:rPr>
          <w:u w:val="single"/>
        </w:rPr>
        <w:t xml:space="preserve">SUBCHAPTER E. WIND-POWERED GENERATION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37.201.</w:t>
      </w:r>
      <w:r>
        <w:rPr>
          <w:u w:val="single"/>
        </w:rPr>
        <w:t xml:space="preserve"> </w:t>
      </w:r>
      <w:r>
        <w:rPr>
          <w:u w:val="single"/>
        </w:rPr>
        <w:t xml:space="preserve"> </w:t>
      </w:r>
      <w:r>
        <w:rPr>
          <w:u w:val="single"/>
        </w:rPr>
        <w:t xml:space="preserve">DEFINITION. "Wind-powered generation facility" means an electric generation facility consisting of one or more wind turbines and associated substations, meteorological data towers, electric transmission lines, transformers, control systems, and other buildings or facilities used to support the operation of the turbines.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37.202.</w:t>
      </w:r>
      <w:r>
        <w:rPr>
          <w:u w:val="single"/>
        </w:rPr>
        <w:t xml:space="preserve"> </w:t>
      </w:r>
      <w:r>
        <w:rPr>
          <w:u w:val="single"/>
        </w:rPr>
        <w:t xml:space="preserve"> </w:t>
      </w:r>
      <w:r>
        <w:rPr>
          <w:u w:val="single"/>
        </w:rPr>
        <w:t xml:space="preserve">WIND GENERATION DECOMMISSIONING FUND.  (a)  The wind generation decommissioning fund is created as an account in the general revenue fund of the state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wind generation decommissioning fund may be used only by the commission or its employees or agents for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37.203.</w:t>
      </w:r>
      <w:r>
        <w:rPr>
          <w:u w:val="single"/>
        </w:rPr>
        <w:t xml:space="preserve"> </w:t>
      </w:r>
      <w:r>
        <w:rPr>
          <w:u w:val="single"/>
        </w:rPr>
        <w:t xml:space="preserve"> </w:t>
      </w:r>
      <w:r>
        <w:rPr>
          <w:u w:val="single"/>
        </w:rPr>
        <w:t xml:space="preserve">MAINTENANCE AND DECOMMISSIONING OF WIND GENERATION FACILITIES.  The commission by rule shall require a person who is issued a certificate that includes a wind-powered generation facility, or an amendment of a certificate that includes a wind-powered generation facility, to maintain and decommission the wind-powered generation facility in a manner that protects the environment and the interests of the owner of the property on which the facility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37.204.</w:t>
      </w:r>
      <w:r>
        <w:rPr>
          <w:u w:val="single"/>
        </w:rPr>
        <w:t xml:space="preserve"> </w:t>
      </w:r>
      <w:r>
        <w:rPr>
          <w:u w:val="single"/>
        </w:rPr>
        <w:t xml:space="preserve"> </w:t>
      </w:r>
      <w:r>
        <w:rPr>
          <w:u w:val="single"/>
        </w:rPr>
        <w:t xml:space="preserve">BONDS; LETTERS OF CREDIT; CASH DEPOSITS. </w:t>
      </w:r>
      <w:r>
        <w:rPr>
          <w:u w:val="single"/>
        </w:rPr>
        <w:t xml:space="preserve"> </w:t>
      </w:r>
      <w:r>
        <w:rPr>
          <w:u w:val="single"/>
        </w:rPr>
        <w:t xml:space="preserve">(a)  The commission shall require a person who is issued a certificate that includes a wind-powered generation facility, or an amendment of a certificate that includes a wind-powered generation facility, to maintain on file with the commission, in an amount determined by the commission sufficient for decommissioning the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bond;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blanket bond;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letter of credit or cash deposit.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bond must be conditioned that the person will maintain and decommission the wind-powered generation facility in a manner that protects the environment and the interests of the owner of the property on which the facility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bond must be executed by a corporate surety authorized to do business in this state and must be renewed and continued in effect until the conditions of Subsection (b) have been met or release is authorized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w:t>
      </w:r>
      <w:r>
        <w:rPr>
          <w:u w:val="single"/>
        </w:rPr>
        <w:t xml:space="preserve"> </w:t>
      </w:r>
      <w:r>
        <w:rPr>
          <w:u w:val="single"/>
        </w:rPr>
        <w:t xml:space="preserve"> </w:t>
      </w:r>
      <w:r>
        <w:rPr>
          <w:u w:val="single"/>
        </w:rPr>
        <w:t xml:space="preserve">DEPOSIT AND USE OF MONEY.  (a) </w:t>
      </w:r>
      <w:r>
        <w:rPr>
          <w:u w:val="single"/>
        </w:rPr>
        <w:t xml:space="preserve"> </w:t>
      </w:r>
      <w:r>
        <w:rPr>
          <w:u w:val="single"/>
        </w:rPr>
        <w:t xml:space="preserve">Subject to Subsection (b), if applicable, the commission shall provide for the proceeds from bonds, letters of credit, and cash deposits required under Section 37.204 that are paid to the state to be deposited to the credit of the wind generation decommissioning fund.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refund the proceeds from a bond, letter of credit, or cash deposit required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conditions that caused the proceeds to be collected are corrected or no longer exist;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penalties relating to those conditions are paid;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 has been reimbursed for all costs and expenses incurred by the commission in relation to those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37.206.</w:t>
      </w:r>
      <w:r>
        <w:rPr>
          <w:u w:val="single"/>
        </w:rPr>
        <w:t xml:space="preserve"> </w:t>
      </w:r>
      <w:r>
        <w:rPr>
          <w:u w:val="single"/>
        </w:rPr>
        <w:t xml:space="preserve"> </w:t>
      </w:r>
      <w:r>
        <w:rPr>
          <w:u w:val="single"/>
        </w:rPr>
        <w:t xml:space="preserve">INVESTIGATION, ASSESSMENT, OR DECOMMISSIONING BY COMMISSION. </w:t>
      </w:r>
      <w:r>
        <w:rPr>
          <w:u w:val="single"/>
        </w:rPr>
        <w:t xml:space="preserve"> </w:t>
      </w:r>
      <w:r>
        <w:rPr>
          <w:u w:val="single"/>
        </w:rPr>
        <w:t xml:space="preserve">(a) </w:t>
      </w:r>
      <w:r>
        <w:rPr>
          <w:u w:val="single"/>
        </w:rPr>
        <w:t xml:space="preserve"> </w:t>
      </w:r>
      <w:r>
        <w:rPr>
          <w:u w:val="single"/>
        </w:rPr>
        <w:t xml:space="preserve">The commission may use money in the wind generation decommissioning fund to conduct a site investigation or environmental assessment of a wind-powered generation facility for which a certificate has been issued.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use money in the wind generation decommissioning fund to decommission a wind-powered generation facility for which a certificate was issued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certificate holder has failed or refused to decommission the wind-powered generation facility after notice and opportunity for 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certificate holder cannot be found or has no assets with which to decommission the wind-powered generation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and its employees are not liable for any damages arising from an act or omission if the act or omission is part of a good faith effort to carry out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conducting of a site investigation, environmental assessment, or decommissioning activities by the commission under this section does not prevent the commission from seeking penalties or other relief provided by law from any person who is required by law, rules adopted by the commission, or a valid order of the commission to decommission a wind-powered generation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decommissions a wind-powered generation facility under this section, the commission may recover all costs incurred by the commission from any person who was required by law, rules adopted by the commission, or a valid order of the commission to decommission the wind-powered generation facility.  The commission by order may require the person to reimburse the commission for those costs or may request the attorney general to file suit against the person to recover those costs. </w:t>
      </w:r>
      <w:r>
        <w:rPr>
          <w:u w:val="single"/>
        </w:rPr>
        <w:t xml:space="preserve"> </w:t>
      </w:r>
      <w:r>
        <w:rPr>
          <w:u w:val="single"/>
        </w:rPr>
        <w:t xml:space="preserve">At the request of the commission, the attorney general may file suit to enforce an order issued by the commission under this subsection.  A suit under this subsection may be filed in any court of competent jurisdiction in Travis County. </w:t>
      </w:r>
      <w:r>
        <w:rPr>
          <w:u w:val="single"/>
        </w:rPr>
        <w:t xml:space="preserve"> </w:t>
      </w:r>
      <w:r>
        <w:rPr>
          <w:u w:val="single"/>
        </w:rPr>
        <w:t xml:space="preserve">The commission shall provide for costs recovered under this subsection to be deposited to the credit of the wind generation decommissioning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