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4,</w:t>
      </w:r>
      <w:r xml:space="preserve">
        <w:t> </w:t>
      </w:r>
      <w:r>
        <w:t xml:space="preserve">2019, reported favorably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meeting the graduate medical education needs of medical degree programs offered or proposed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61.05122, Education Code, is amended by amending Subsections (b) and (d)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w:t>
      </w:r>
      <w:r>
        <w:rPr>
          <w:strike/>
        </w:rPr>
        <w:t xml:space="preserve">new</w:t>
      </w:r>
      <w:r>
        <w:t xml:space="preserve">] degree program. </w:t>
      </w:r>
      <w:r>
        <w:t xml:space="preserve">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w:t>
      </w:r>
      <w:r>
        <w:rPr>
          <w:u w:val="single"/>
        </w:rPr>
        <w:t xml:space="preserve">, considering both the institution's proposed initial maximum individual enrollment class size and any projected growth in that class size,</w:t>
      </w:r>
      <w:r>
        <w:t xml:space="preserv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 </w:t>
      </w:r>
      <w:r>
        <w:rPr>
          <w:u w:val="single"/>
        </w:rPr>
        <w:t xml:space="preserve"> </w:t>
      </w:r>
      <w:r>
        <w:rPr>
          <w:u w:val="single"/>
        </w:rPr>
        <w:t xml:space="preserve">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