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86R2653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Rodríguez</w:t>
      </w:r>
      <w:r xml:space="preserve">
        <w:tab wTab="150" tlc="none" cTlc="0"/>
      </w:r>
      <w:r>
        <w:t xml:space="preserve">S.B.</w:t>
      </w:r>
      <w:r xml:space="preserve">
        <w:t> </w:t>
      </w:r>
      <w:r>
        <w:t xml:space="preserve">No.</w:t>
      </w:r>
      <w:r xml:space="preserve">
        <w:t> </w:t>
      </w:r>
      <w:r>
        <w:t xml:space="preserve">1380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analysis of inspection and maintenance requirements for air quality permits issued by the Texas Commission on Environmental Quality for certain oil and gas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382, Health and Safety Code, is amended by adding Section 382.051965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382.051965.</w:t>
      </w:r>
      <w:r>
        <w:rPr>
          <w:u w:val="single"/>
        </w:rPr>
        <w:t xml:space="preserve"> </w:t>
      </w:r>
      <w:r>
        <w:rPr>
          <w:u w:val="single"/>
        </w:rPr>
        <w:t xml:space="preserve"> </w:t>
      </w:r>
      <w:r>
        <w:rPr>
          <w:u w:val="single"/>
        </w:rPr>
        <w:t xml:space="preserve">ANALYSIS OF INSPECTION AND MAINTENANCE REQUIREMENTS FOR OIL AND GAS FACILITIES.  (a)  This section applies only to a rule or requirement: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relating to a permit by rule or a standard permit for a facility described by Section 382.051961(a);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 rule or requirement of the commission in effect on June 1, 2019;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 proposed or approved federal rule or requirement that may be implemented before December 31, 2020.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examine rules and requirements described by Subsection (a) governing: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inspection and maintenance programs, including programs that use optical gas imaging, for the detection and repair of leaks from all valves, pump seals, flanges, compressor seals, pressure relief valves, open-ended lines, tanks, and other process and operation components of the facility that could result in fugitive emissions;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use of venting and flaring;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emissions of volatile organic compounds from storage tanks that have the potential to emit more than one ton of volatile organic compounds per year;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emissions of nitrogen oxides from compressor engines with more than 100 horsepower;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maintenance requirements and best practices for compressor stations;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emissions from and maintenance of pneumatic devices and controllers between a wellhead and a natural gas processing plant.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prepare a report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addresses issues raised concerning the rules or requirements described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suggests options for improving safety, preventing air emissions from oil and gas equipment, including methane and other useful products, and reducing emissions from facilities described by Subsection (a)(1).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suggesting options for improvement for the purposes of Subsection (c)(2), the commission may consider both regulatory and incentive approaches, including approaches taken in other leading oil and gas producing states that would lead to improvements in air quality and public health.</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cooperate with the Railroad Commission of Texas in developing the report and obtaining public comment under Subsection (f).</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January 1, 2020, the commission shall issue and make available for public comment a preliminary report. The commission may hold meetings to consider public comment.  After considering public comment, if any, but not later than June 1, 2020, the commission shall post on its Internet website the final report.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Nothing in this section prevents the commission from adopting rules on the issues contained in the study.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section expires August 31, 2021.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