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86R4102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1381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biennial report on stormwater infrastructure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5, Water Code, is amended by adding Section 5.136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5.136.</w:t>
      </w:r>
      <w:r>
        <w:rPr>
          <w:u w:val="single"/>
        </w:rPr>
        <w:t xml:space="preserve"> </w:t>
      </w:r>
      <w:r>
        <w:rPr>
          <w:u w:val="single"/>
        </w:rPr>
        <w:t xml:space="preserve"> </w:t>
      </w:r>
      <w:r>
        <w:rPr>
          <w:u w:val="single"/>
        </w:rPr>
        <w:t xml:space="preserve">BIENNIAL REPORT ON STORMWATER INFRASTRUCTURE.  (a) </w:t>
      </w:r>
      <w:r>
        <w:rPr>
          <w:u w:val="single"/>
        </w:rPr>
        <w:t xml:space="preserve"> </w:t>
      </w:r>
      <w:r>
        <w:rPr>
          <w:u w:val="single"/>
        </w:rPr>
        <w:t xml:space="preserve">In this section, the term "green stormwater infrastructure," also known as "low impact development," means systems and practices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or mimic natural processes that result in the infiltration, evapotranspiration, treatment, or use of stormwater;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manage stormwater, protect water quality and associated habitat, or augment or replace conventional engineered stormwater systems;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 local requirements for post-development stormwater retention and detention and erosion management;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are considered best management practices.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state fiscal biennium the commission shall appoint a Green Stormwater Infrastructure and Low Impact Development Report Group to prepare a report on the use of green stormwater infrastructure and low impact development in this state. </w:t>
      </w:r>
      <w:r>
        <w:rPr>
          <w:u w:val="single"/>
        </w:rPr>
        <w:t xml:space="preserve"> </w:t>
      </w:r>
      <w:r>
        <w:rPr>
          <w:u w:val="single"/>
        </w:rPr>
        <w:t xml:space="preserve">Each group must be composed of 10 members appointed by the commission, with one member to represent each of the following: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counties;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municipalities;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special districts that have land development authority or provide water or wastewater services;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academic university programs related to land development;</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businesses engaged in real estate development;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civil engineers;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landscape architects;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environmental groups;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professional organizations focused on water conservation;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vendors and providers of green stormwater infrastructure and low impact development systems or practices.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solicit nominations for group members from the entities listed in Subsection (b). </w:t>
      </w:r>
      <w:r>
        <w:rPr>
          <w:u w:val="single"/>
        </w:rPr>
        <w:t xml:space="preserve"> </w:t>
      </w:r>
      <w:r>
        <w:rPr>
          <w:u w:val="single"/>
        </w:rPr>
        <w:t xml:space="preserve">The commission may not appoint a person to serve as a group member representing a type of entity unless the person is nominated by a representative of that type of entity.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each county, municipality, and special district with land development authority that allows the use of green stormwater infrastructure and low impact development in land development projects in the county, municipal, or district territory;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estimates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number of private and public projects and sites in this state that use green stormwater infrastructure and low impact development;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of stormwater that is managed by the green stormwater infrastructure and low impact development features described in Paragraph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amount of money invested in the green stormwater infrastructure and low impact development features described in Paragraph (A);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monetized assessment of the social, economic, and environmental benefits realized by the use of green stormwater infrastructure and low impact development in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assessment of typical impediments to the use of green stormwater infrastructure and low impact development in local development codes;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assessment of impediments in the law and policies of this state to the use of green stormwater infrastructure and low impact development;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recommendations to encourage increased use and deployment of green stormwater infrastructure and low impact development in this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publicly solicit information to support the preparation of the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cooperate with the group in providing information or access to information.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group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at least one meeting to receive input on the preparation of the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prepare a draft report;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publish the draft report and solicit comments on the draft report;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prepare a response-to-comments document and finalize the report;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not later than January 1 of the second year of the state fiscal biennium, submit the final report to:</w:t>
      </w:r>
      <w:r>
        <w:t xml:space="preserve"> </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each member of the commission;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governor;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lieutenant governor;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speaker of the house of representatives;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each member of the legislature.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The Texas Commission on Environmental Quality shall appoint the members of the first Green Stormwater Infrastructure and Low Impact Development Report Group under Section 5.136, Water Code, as added by this Act, in a timely manner to ensure that the group is able to prepare the report by January 1, 2021.</w:t>
      </w:r>
    </w:p>
    <w:p w:rsidR="003F3435" w:rsidRDefault="0032493E">
      <w:pPr>
        <w:spacing w:line="480" w:lineRule="auto"/>
        <w:ind w:firstLine="720"/>
        <w:jc w:val="both"/>
      </w:pPr>
      <w:r>
        <w:t xml:space="preserve">(b)</w:t>
      </w:r>
      <w:r xml:space="preserve">
        <w:t> </w:t>
      </w:r>
      <w:r xml:space="preserve">
        <w:t> </w:t>
      </w:r>
      <w:r>
        <w:t xml:space="preserve">Notwithstanding Section 5.136(d), Water Code, as added by this Act, the first biennial report prepared by the Green Stormwater Infrastructure and Low Impact Development Report Group is required to include only information described by Section 5.136(d), Water Code, as added by this Act, that the Texas Commission on Environmental Quality requires to be in the report.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