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Water &amp; Rural Affairs;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1386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hold a closed meeting to consider and discuss financial matters related to the investment or potential investment of the board's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