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86R10636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suicide prevention in public school curriculum and certain educational programs concerning suicide prevention and substance abuse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w:t>
      </w:r>
      <w:r>
        <w:rPr>
          <w:u w:val="single"/>
        </w:rPr>
        <w:t xml:space="preserve">biennial basis</w:t>
      </w:r>
      <w:r>
        <w:t xml:space="preserve"> [</w:t>
      </w:r>
      <w:r>
        <w:rPr>
          <w:strike/>
        </w:rPr>
        <w:t xml:space="preserve">schedule adopted by the agency by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the importance of proper nutrition and exercise;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on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the essential knowledge and skills for the health curriculum under Subsection (a)(2)(B), the State Board of Education shall adopt essential knowledge and skills that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between drug and alcohol use and suicide;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recognizing signs of suicidal tendencies and other warning signs of suicide;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help-seeking behaviors and available community suicide prevention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 Education Code, is amended by amending Subsection (c) and adding Subsection (o)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local school health advisory council shall make policy recommendations to the district to increase parental awareness of suicide-related risk factors and warning signs and available community suicide prevention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161.325(a-1), Health and Safety Code, as amended by Chapter 714 (H.B. 4056) and Chapter 522 (S.B. 179),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list must include programs </w:t>
      </w:r>
      <w:r>
        <w:rPr>
          <w:u w:val="single"/>
        </w:rPr>
        <w:t xml:space="preserve">and practices</w:t>
      </w:r>
      <w:r>
        <w:t xml:space="preserve">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mental health promotion;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positive behavior interventions and supports and positive youth development;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161.325, Health and Safety Code, is amended by adding Subsection (a-4) and amending Subsections (b) and (d)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(b)</w:t>
      </w:r>
      <w:r xml:space="preserve">
        <w:t> </w:t>
      </w:r>
      <w:r xml:space="preserve">
        <w:t> </w:t>
      </w:r>
      <w:r>
        <w:t xml:space="preserve">The suicide prevention programs on the list must include components that provide for training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committing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