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1394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companies that prearrange barbering and cosmetology services outside of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1603, Occupations Code, is amended by adding Section 1603.208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1603.208.</w:t>
      </w:r>
      <w:r>
        <w:rPr>
          <w:u w:val="single"/>
        </w:rPr>
        <w:t xml:space="preserve"> </w:t>
      </w:r>
      <w:r>
        <w:rPr>
          <w:u w:val="single"/>
        </w:rPr>
        <w:t xml:space="preserve"> </w:t>
      </w:r>
      <w:r>
        <w:rPr>
          <w:u w:val="single"/>
        </w:rPr>
        <w:t xml:space="preserve">DIGITALLY PREARRANGED REMOTE SERVICES.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means any online-enabled application, Internet website, or system offered or used by a remote service business that allows a client to arrange for a digitally prearranged remote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"Digitally prearranged remote service" means a barbering or cosmetology service performed for compensation by a person holding a license, certificate of registration, or permit under Chapter 1601 or 1602 or this chapter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prearranged through a digital network;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at a location other than a place of business that is licensed or permitted under Chapter 1601 or 1602 or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"Remote service business" means a corporation, partnership, sole proprietorship, or other entity that, for compensation, enables a client to schedule a digitally prearranged remote service with a person holding a license, certificate of registration, or permit under Chapter 1601 or 1602 or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administer this section,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minimum standards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operation of a remote service business;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sanitation requirements for performing a digitally prearranged remote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activities within the scope of barbering and cosmetology that may be performed as a digitally prearranged remote service;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inspecting and auditing the records of a remote service business and of a person who performs a digitally prearranged remote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1601.453, 1601.455, 1602.251(c), and 1602.407 do not apply to a digitally prearranged remote service scheduled through a remote service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holds a license, certificate of registration, or permit to practice barbering or cosmetology and who performs a digitally prearranged remote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section and the rules adopted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 within the scope of the person's license, certificate of registration, or permit.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remote service business may not offer a barbering or cosmetology service that requires treating or removing a person's hair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processing;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bleaching;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dyeing;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tinting;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a cosmetic preparation.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 person licensed, registered, or permitted to practice barbering or cosmetology performs a digitally prearranged remote service for a client requesting the service, a remote service business shall provide through the entity's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information regarding the person who will perform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first and last name;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the person's license, certificate of registration, or permit, as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photograph of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information regarding the business: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Internet website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telephone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Within a reasonable time after completion of a digitally prearranged remote service, the remote service business shall issue to the client who requested the service a receipt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service was provided;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first and last name of the person who performed the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the person's license, certificate of registration, or permit, as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following information regarding the business: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Internet website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telephone number;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remote service business shall maintain each record showing compliance with this section and the rules adopted under this section until at least the fifth anniversary of the date the record was generated.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remote service business shall terminate a person's access to the business's digital network if the business or department determines the person violated: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rule adopted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1601 or 1602;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rule adopted under Chapter 1601 or 1602.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of Licensing and Regulation shall adopt the rules necessary to implement Section 1603.208,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