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86R11226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behavior improvement plan imposed as a public school truancy prevention measure.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25.0915(a-1),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As a truancy prevention measure under Subsection (a), a school district shall take one or more of the following actions: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impose: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behavior improvement plan on the student that must be signed by an employee of the </w:t>
      </w:r>
      <w:r>
        <w:rPr>
          <w:u w:val="single"/>
        </w:rPr>
        <w:t xml:space="preserve">district</w:t>
      </w:r>
      <w:r>
        <w:t xml:space="preserve"> [</w:t>
      </w:r>
      <w:r>
        <w:rPr>
          <w:strike/>
        </w:rPr>
        <w:t xml:space="preserve">school</w:t>
      </w:r>
      <w:r>
        <w:t xml:space="preserve">], that the school district has made a good faith effort to have signed by the student </w:t>
      </w:r>
      <w:r>
        <w:rPr>
          <w:u w:val="single"/>
        </w:rPr>
        <w:t xml:space="preserve">or</w:t>
      </w:r>
      <w:r>
        <w:t xml:space="preserve"> [</w:t>
      </w:r>
      <w:r>
        <w:rPr>
          <w:strike/>
        </w:rPr>
        <w:t xml:space="preserve">and</w:t>
      </w:r>
      <w:r>
        <w:t xml:space="preserve">] the student's parent or guardian, and that includes: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specific description of the behavior that is required or prohibited for the student;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the period for which the plan will be effective, not to exceed </w:t>
      </w:r>
      <w:r>
        <w:rPr>
          <w:u w:val="single"/>
        </w:rPr>
        <w:t xml:space="preserve">90</w:t>
      </w:r>
      <w:r>
        <w:t xml:space="preserve"> [</w:t>
      </w:r>
      <w:r>
        <w:rPr>
          <w:strike/>
        </w:rPr>
        <w:t xml:space="preserve">45</w:t>
      </w:r>
      <w:r>
        <w:t xml:space="preserve">] school days after the date the contract becomes effective;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penalties for additional absences, including additional disciplinary action or the referral of the student to a truancy court;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school-based community service;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refer the student to counseling, mediation, mentoring, a teen court program, community-based services, or other in-school or out-of-school services aimed at addressing the student's truancy.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