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Hall</w:t>
      </w:r>
      <w:r xml:space="preserve">
        <w:tab wTab="150" tlc="none" cTlc="0"/>
      </w:r>
      <w:r>
        <w:t xml:space="preserve">S.B.</w:t>
      </w:r>
      <w:r xml:space="preserve">
        <w:t> </w:t>
      </w:r>
      <w:r>
        <w:t xml:space="preserve">No.</w:t>
      </w:r>
      <w:r xml:space="preserve">
        <w:t> </w:t>
      </w:r>
      <w:r>
        <w:t xml:space="preserve">1400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of the Alamo Cenotaph.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2166, Government Code, is amended by adding Section 2166.5012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2166.5012.</w:t>
      </w:r>
      <w:r>
        <w:rPr>
          <w:u w:val="single"/>
        </w:rPr>
        <w:t xml:space="preserve"> </w:t>
      </w:r>
      <w:r>
        <w:rPr>
          <w:u w:val="single"/>
        </w:rPr>
        <w:t xml:space="preserve"> </w:t>
      </w:r>
      <w:r>
        <w:rPr>
          <w:u w:val="single"/>
        </w:rPr>
        <w:t xml:space="preserve">ALAMO CENOTAPH.  (a)</w:t>
      </w:r>
      <w:r>
        <w:rPr>
          <w:u w:val="single"/>
        </w:rPr>
        <w:t xml:space="preserve"> </w:t>
      </w:r>
      <w:r>
        <w:rPr>
          <w:u w:val="single"/>
        </w:rPr>
        <w:t xml:space="preserve"> </w:t>
      </w:r>
      <w:r>
        <w:rPr>
          <w:u w:val="single"/>
        </w:rPr>
        <w:t xml:space="preserve">In this section, "Alamo Cenotaph" means the memorial to the Alamo defenders located in the Alamo complex.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Subchapter I, Chapter 31, Natural Resources Code, or any other law, the City of San Antonio, or any other entity, may not move the Alamo Cenotaph from the location where the cenotaph was first placed following its completion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move is approved in a public hearing by at least two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commissioner of the General Land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of the Texas Historical Commission who is designated by the commission to represent the commission;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officer of the Daughters of the Republic of Texas who is designated by the organization's officers to represent the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cenotaph is moved: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temporarily for repairs;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permanently to a location within the Alamo Plaza.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