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 Hall</w:t>
      </w:r>
      <w:r xml:space="preserve">
        <w:tab wTab="150" tlc="none" cTlc="0"/>
      </w:r>
      <w:r>
        <w:t xml:space="preserve">S.B.</w:t>
      </w:r>
      <w:r xml:space="preserve">
        <w:t> </w:t>
      </w:r>
      <w:r>
        <w:t xml:space="preserve">No.</w:t>
      </w:r>
      <w:r xml:space="preserve">
        <w:t> </w:t>
      </w:r>
      <w:r>
        <w:t xml:space="preserve">1400</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w:t>
      </w:r>
      <w:r xml:space="preserve">
        <w:t> </w:t>
      </w:r>
      <w:r>
        <w:t xml:space="preserve">2019; March</w:t>
      </w:r>
      <w:r xml:space="preserve">
        <w:t> </w:t>
      </w:r>
      <w:r>
        <w:t xml:space="preserve">14,</w:t>
      </w:r>
      <w:r xml:space="preserve">
        <w:t> </w:t>
      </w:r>
      <w:r>
        <w:t xml:space="preserve">2019, read first time and referred to Committee on Natural Resources &amp; Economic Development; April</w:t>
      </w:r>
      <w:r xml:space="preserve">
        <w:t> </w:t>
      </w:r>
      <w:r>
        <w:t xml:space="preserve">25,</w:t>
      </w:r>
      <w:r xml:space="preserve">
        <w:t> </w:t>
      </w:r>
      <w:r>
        <w:t xml:space="preserve">2019, reported adversely, with favorable Committee Substitute by the following vote:</w:t>
      </w:r>
      <w:r>
        <w:t xml:space="preserve"> </w:t>
      </w:r>
      <w:r>
        <w:t xml:space="preserve"> </w:t>
      </w:r>
      <w:r>
        <w:t xml:space="preserve">Yeas 10, Nays 0; April</w:t>
      </w:r>
      <w:r xml:space="preserve">
        <w:t> </w:t>
      </w:r>
      <w:r>
        <w:t xml:space="preserve">25,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1400</w:t>
      </w:r>
      <w:r xml:space="preserve">
        <w:tab wTab="150" tlc="none" cTlc="0"/>
      </w:r>
      <w:r>
        <w:t xml:space="preserve">By:</w:t>
      </w:r>
      <w:r xml:space="preserve">
        <w:t> </w:t>
      </w:r>
      <w:r xml:space="preserve">
        <w:t> </w:t>
      </w:r>
      <w:r>
        <w:t xml:space="preserve">Flores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location of the Alamo Cenotaph.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K, Chapter 2166, Government Code, is amended by adding Section 2166.5012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2166.5012.</w:t>
      </w:r>
      <w:r>
        <w:rPr>
          <w:u w:val="single"/>
        </w:rPr>
        <w:t xml:space="preserve"> </w:t>
      </w:r>
      <w:r>
        <w:rPr>
          <w:u w:val="single"/>
        </w:rPr>
        <w:t xml:space="preserve"> </w:t>
      </w:r>
      <w:r>
        <w:rPr>
          <w:u w:val="single"/>
        </w:rPr>
        <w:t xml:space="preserve">ALAMO CENOTAPH.  (a)</w:t>
      </w:r>
      <w:r>
        <w:rPr>
          <w:u w:val="single"/>
        </w:rPr>
        <w:t xml:space="preserve"> </w:t>
      </w:r>
      <w:r>
        <w:rPr>
          <w:u w:val="single"/>
        </w:rPr>
        <w:t xml:space="preserve"> </w:t>
      </w:r>
      <w:r>
        <w:rPr>
          <w:u w:val="single"/>
        </w:rPr>
        <w:t xml:space="preserve">In this section, "Alamo Cenotaph" means the memorial to the Alamo defenders located in the Alamo complex.</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Subchapter I, Chapter 31, Natural Resources Code, or any other law, the City of San Antonio, or any other entity, may not move the Alamo Cenotaph from the location where the cenotaph was first placed following its completion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move is approved in a public hearing by at least two of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commissioner of the General Land Office;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member of the Texas Historical Commission who is designated by the commission to represent the commission;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one officer of the Daughters of the Republic of Texas who is designated by the organization's officers to represent the organization;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cenotaph is moved: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temporarily for repairs;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permanently to a location within the Alamo Plaza.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1400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