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Rodríguez</w:t>
      </w:r>
      <w:r xml:space="preserve">
        <w:tab wTab="150" tlc="none" cTlc="0"/>
      </w:r>
      <w:r>
        <w:t xml:space="preserve">S.B.</w:t>
      </w:r>
      <w:r xml:space="preserve">
        <w:t> </w:t>
      </w:r>
      <w:r>
        <w:t xml:space="preserve">No.</w:t>
      </w:r>
      <w:r xml:space="preserve">
        <w:t> </w:t>
      </w:r>
      <w:r>
        <w:t xml:space="preserve">1402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regulation by certain counties of lots in platted subdivisions that have remained undeveloped.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232, Local Government Code, is amended by adding Section 232.045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232.045.</w:t>
      </w:r>
      <w:r>
        <w:rPr>
          <w:u w:val="single"/>
        </w:rPr>
        <w:t xml:space="preserve"> </w:t>
      </w:r>
      <w:r>
        <w:rPr>
          <w:u w:val="single"/>
        </w:rPr>
        <w:t xml:space="preserve"> </w:t>
      </w:r>
      <w:r>
        <w:rPr>
          <w:u w:val="single"/>
        </w:rPr>
        <w:t xml:space="preserve">APPLICABILITY OF INFRASTRUCTURE REQUIREMENTS TO LOTS UNDEVELOPED FOR 25 YEARS OR MORE.  (a)</w:t>
      </w:r>
      <w:r>
        <w:rPr>
          <w:u w:val="single"/>
        </w:rPr>
        <w:t xml:space="preserve"> </w:t>
      </w:r>
      <w:r>
        <w:rPr>
          <w:u w:val="single"/>
        </w:rPr>
        <w:t xml:space="preserve"> </w:t>
      </w:r>
      <w:r>
        <w:rPr>
          <w:u w:val="single"/>
        </w:rPr>
        <w:t xml:space="preserve">This section applies only to a county with a population of more than 800,000 that is adjacent to an international border.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commissioners court by order may implement a process: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applicable to a subdivision in which 50 percent or more of the lots are undeveloped or unoccupied on or after the 25th anniversary of the date the plat for the subdivision was recorded with the county;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through which the county, to the extent practicable, may apply to the subdivision more current street, road, drainage, and other infrastructure requirements.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regulation or standard adopted by a county under this section must be no less stringent than the minimum standards and other requirements under the model rules for safe and sanitary water supply and sewer services adopted under Section 16.343, Water Code, and any other minimum public safety standards that would otherwise be applicable to the subdivision.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regulation or standard adopted by a county under this section applies only to a lot that is owned by an individual, firm, corporation, or other legal entity that directly or indirectly offers lots for sale or lease as part of a common promotional plan in the ordinary course of business, and each regulation or standard must expressly state that limitation.  For the purposes of this subsection, "common promotional plan" means a plan or scheme of operation undertaken by a person or a group acting in concert, either personally or through an agent, to offer for sale or lease more than two lots when the land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contiguous or part of the same area of land;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known, designated, or advertised as a common unit or by a common name.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232.045, Local Government Code, as added by this Act, does not apply to property that was the subject of a settlement agreement and release incorporating an agreed final judgment that was effective on or before May 1, 2017, or any property that was the subject of an amendment to such settlement agreement and release that was subsequently entered into by the parties.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2020.</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