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regulation by certain counties of lots in platted subdivisions that have remained undeveloped.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232, Local Government Code, is amended by adding Section 232.045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232.045.</w:t>
      </w:r>
      <w:r>
        <w:rPr>
          <w:u w:val="single"/>
        </w:rPr>
        <w:t xml:space="preserve"> </w:t>
      </w:r>
      <w:r>
        <w:rPr>
          <w:u w:val="single"/>
        </w:rPr>
        <w:t xml:space="preserve"> </w:t>
      </w:r>
      <w:r>
        <w:rPr>
          <w:u w:val="single"/>
        </w:rPr>
        <w:t xml:space="preserve">APPLICABILITY OF INFRASTRUCTURE REQUIREMENTS TO LOTS UNDEVELOPED FOR 25 YEARS OR MORE.  (a)</w:t>
      </w:r>
      <w:r>
        <w:rPr>
          <w:u w:val="single"/>
        </w:rPr>
        <w:t xml:space="preserve"> </w:t>
      </w:r>
      <w:r>
        <w:rPr>
          <w:u w:val="single"/>
        </w:rPr>
        <w:t xml:space="preserve"> </w:t>
      </w:r>
      <w:r>
        <w:rPr>
          <w:u w:val="single"/>
        </w:rPr>
        <w:t xml:space="preserve">This section applies only to a county with a population of more than 800,000 that is adjacent to an international border.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commissioners court by order may implement a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to a subdivision in which 50 percent or more of the lots are undeveloped or unoccupied on or after the 25th anniversary of the date the plat for the subdivision was recorded with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the county, to the extent practicable, may apply to the subdivision more current street, road, drainage, and other infrastructure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regulation or standard adopted by a county under this section must be no less stringent than the minimum standards and other requirements under the model rules for safe and sanitary water supply and sewer services adopted under Section 16.343, Water Code, and any other minimum public safety standards that would otherwise be applicable to the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regulation or standard adopted by a county under this section applies only to a lot that is owned by an individual, firm, corporation, or other legal entity that directly or indirectly offers lots for sale or lease as part of a common promotional plan in the ordinary course of business, and each regulation or standard must expressly state that limitation.  For the purposes of this subsection, "common promotional plan" means a plan or scheme of operation undertaken by a person or a group acting in concert, either personally or through an agent, to offer for sale or lease more than two lots when the land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contiguous or part of the same area of land;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known, designated, or advertised as a common unit or by a common name.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232.045, Local Government Code, as added by this Act, does not apply to property that was the subject of a settlement agreement and release incorporating an agreed final judgment that was effective on or before May 1, 2017, or any property that was the subject of an amendment to such settlement agreement and release that was subsequently entered into by the parties.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1402 passed the Senate on April</w:t>
      </w:r>
      <w:r xml:space="preserve">
        <w:t> </w:t>
      </w:r>
      <w:r>
        <w:t xml:space="preserve">23,</w:t>
      </w:r>
      <w:r xml:space="preserve">
        <w:t> </w:t>
      </w:r>
      <w:r>
        <w:t xml:space="preserve">2019, by the following vote:</w:t>
      </w:r>
      <w:r xml:space="preserve">
        <w:t> </w:t>
      </w:r>
      <w:r xml:space="preserve">
        <w:t> </w:t>
      </w:r>
      <w:r>
        <w:t xml:space="preserve">Yeas</w:t>
      </w:r>
      <w:r xml:space="preserve">
        <w:t> </w:t>
      </w:r>
      <w:r>
        <w:t xml:space="preserve">24, Nays</w:t>
      </w:r>
      <w:r xml:space="preserve">
        <w:t> </w:t>
      </w:r>
      <w:r>
        <w:t xml:space="preserve">7.</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1402 passed the House on May</w:t>
      </w:r>
      <w:r xml:space="preserve">
        <w:t> </w:t>
      </w:r>
      <w:r>
        <w:t xml:space="preserve">14,</w:t>
      </w:r>
      <w:r xml:space="preserve">
        <w:t> </w:t>
      </w:r>
      <w:r>
        <w:t xml:space="preserve">2019, by the following vote:</w:t>
      </w:r>
      <w:r xml:space="preserve">
        <w:t> </w:t>
      </w:r>
      <w:r xml:space="preserve">
        <w:t> </w:t>
      </w:r>
      <w:r>
        <w:t xml:space="preserve">Yeas</w:t>
      </w:r>
      <w:r xml:space="preserve">
        <w:t> </w:t>
      </w:r>
      <w:r>
        <w:t xml:space="preserve">129, Nays</w:t>
      </w:r>
      <w:r xml:space="preserve">
        <w:t> </w:t>
      </w:r>
      <w:r>
        <w:t xml:space="preserve">12,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