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86R5367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351.102, Tax Code, is amended by amending Subsection (e) and adding Subsection (f-1)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 the county seat of a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through which the Pedernales River flows;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birthplace of a president of the United States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municipality described by Subsection (e)(13) may also pledge revenue derived from the tax imposed under this chapter from a hotel project that is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the municipality;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on land owned by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