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Hall</w:t>
      </w:r>
      <w:r xml:space="preserve">
        <w:tab wTab="150" tlc="none" cTlc="0"/>
      </w:r>
      <w:r>
        <w:t xml:space="preserve">S.B.</w:t>
      </w:r>
      <w:r xml:space="preserve">
        <w:t> </w:t>
      </w:r>
      <w:r>
        <w:t xml:space="preserve">No.</w:t>
      </w:r>
      <w:r xml:space="preserve">
        <w:t> </w:t>
      </w:r>
      <w:r>
        <w:t xml:space="preserve">1412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accelerated campus excellence turnaround plans for low-performing schools and the authority of the commissioner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xml:space="preserve">
        <w:t> </w:t>
      </w:r>
      <w:r xml:space="preserve">
        <w:t> </w:t>
      </w:r>
      <w:r>
        <w:t xml:space="preserve">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providing student services before or after the instructional day that improve student performance, which may include tutoring, extracurricular activities, counseling services, and offering breakfast, lunch, and dinner to all students at the campus;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39A, Education Code, is amended by adding Section 39A.116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39A.116.</w:t>
      </w:r>
      <w:r>
        <w:rPr>
          <w:u w:val="single"/>
        </w:rPr>
        <w:t xml:space="preserve"> </w:t>
      </w:r>
      <w:r>
        <w:rPr>
          <w:u w:val="single"/>
        </w:rPr>
        <w:t xml:space="preserve"> </w:t>
      </w:r>
      <w:r>
        <w:rPr>
          <w:u w:val="single"/>
        </w:rPr>
        <w:t xml:space="preserve">COMMISSIONER AUTHORITY.  A decision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commissioner of education shall select one campus that received an unacceptable rating for the 2017-2018 school year, regardless of the number of consecutive years the campus has received an unacceptable rating,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commissioner of education may adopt rules necessary to implement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