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86R11389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accelerated campus excellence turnaround plans for low-performing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w:t>
      </w:r>
      <w:r>
        <w:rPr>
          <w:u w:val="single"/>
        </w:rPr>
        <w:t xml:space="preserve"> </w:t>
      </w:r>
      <w:r>
        <w:rPr>
          <w:u w:val="single"/>
        </w:rPr>
        <w:t xml:space="preserve">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requirements adopted by the commissioner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39A, Education Code, is amended by adding Section 39A.116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39A.116.</w:t>
      </w:r>
      <w:r>
        <w:rPr>
          <w:u w:val="single"/>
        </w:rPr>
        <w:t xml:space="preserve"> </w:t>
      </w:r>
      <w:r>
        <w:rPr>
          <w:u w:val="single"/>
        </w:rPr>
        <w:t xml:space="preserve"> </w:t>
      </w:r>
      <w:r>
        <w:rPr>
          <w:u w:val="single"/>
        </w:rPr>
        <w:t xml:space="preserve">COMMISSIONER AUTHORITY.  A decision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commissioner of education shall select one campus that received an unacceptable rating for the 2017-2018 school year to submit an accelerated campus excellence turnaround plan as provided by Section 39A.105(b), Education Code, as added by this Act, for the 2019-2020 school year.</w:t>
      </w:r>
      <w:r>
        <w:t xml:space="preserve"> </w:t>
      </w:r>
      <w:r>
        <w:t xml:space="preserve"> </w:t>
      </w:r>
      <w:r>
        <w:t xml:space="preserve">The commissioner may adjust timelines established under Chapter 39A, Education Code, for the campus selected by the commissioner under this section for purposes of developing and implementing the accelerated campus excellence turnaround plan.</w:t>
      </w:r>
    </w:p>
    <w:p w:rsidR="003F3435" w:rsidRDefault="0032493E">
      <w:pPr>
        <w:spacing w:line="480" w:lineRule="auto"/>
        <w:ind w:firstLine="720"/>
        <w:jc w:val="both"/>
      </w:pPr>
      <w:r>
        <w:t xml:space="preserve">(b)</w:t>
      </w:r>
      <w:r xml:space="preserve">
        <w:t> </w:t>
      </w:r>
      <w:r xml:space="preserve">
        <w:t> </w:t>
      </w:r>
      <w:r>
        <w:t xml:space="preserve">Except as provided by Subsection (a),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