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1412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1412</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accelerated campus excellence turnaround plans for low-performing schools and the authority of the commissioner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requirements adopted by the commissioner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guidance to districts as necessary to implement an accelerated campus excellence turnaround plan under Subsection (b).</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commissioner of education shall select one campus that received an unacceptable rating for the 2017-2018 school year, regardless of the number of consecutive years the campus has received an unacceptable rating,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w:t>
      </w:r>
    </w:p>
    <w:p w:rsidR="003F3435" w:rsidRDefault="0032493E">
      <w:pPr>
        <w:spacing w:line="480" w:lineRule="auto"/>
        <w:ind w:firstLine="720"/>
        <w:jc w:val="both"/>
      </w:pPr>
      <w:r>
        <w:t xml:space="preserve">(b)</w:t>
      </w:r>
      <w:r xml:space="preserve">
        <w:t> </w:t>
      </w:r>
      <w:r xml:space="preserve">
        <w:t> </w:t>
      </w:r>
      <w:r>
        <w:t xml:space="preserve">Except as provided by Subsection (a) of this section, this Act applies beginning with the 2020-2021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