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8,</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recovery of the funds of an estate delivered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551.003(b),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Recovery of</w:t>
      </w:r>
      <w:r>
        <w:t xml:space="preserve"> [</w:t>
      </w:r>
      <w:r>
        <w:rPr>
          <w:strike/>
        </w:rPr>
        <w:t xml:space="preserve">An action to recover</w:t>
      </w:r>
      <w:r>
        <w:t xml:space="preserve">] the proceeds of a sale under this section is governed by Subchapter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Estates Code, is amended to read as follows:</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RECOVERY OF FUNDS.  If funds of an estate have been paid to the comptroller under this chapter, an heir or devisee or an assignee of an heir or devisee may recover the share of the funds to which the heir, devisee, or assignee is entitled </w:t>
      </w:r>
      <w:r>
        <w:rPr>
          <w:u w:val="single"/>
        </w:rPr>
        <w:t xml:space="preserve">by filing a claim with the comptroller in the manner provided by Chapter 74, Property Code, for property delivered to the comptroller under that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74.501(e), Property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w:t>
      </w:r>
      <w:r>
        <w:rPr>
          <w:u w:val="single"/>
        </w:rPr>
        <w:t xml:space="preserve">or Section 551.051, Estates Code</w:t>
      </w:r>
      <w:r>
        <w:t xml:space="preserv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or</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551.052, 551.053, 551.054, and 551.055, Estates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