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86R10678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fee for placing, temporarily lifting, or removing a security freeze on a consumer file.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20.01, Business &amp; Commerce Code, is amended by adding Subdivision (1-a)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"Breach of system security" has the meaning assigned by Section 521.053.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20.04, Business &amp; Commerce Code, is amended by amending Subsection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consumer reporting agency may not charge a fee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request by a consumer for a copy of the consumer's file: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made not later than the 60th day after the date on which adverse action is taken against the consumer;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made on the expiration of a 45-day security alert;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notification of the deletion of information that is found to be inaccurate or can no longer be verified sent to a person designated by the consumer, as prescribed by Section 611 of the Fair Credit Reporting Act (15 U.S.C. Section 1681i), as amended;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set of instructions for understanding the information presented on the consumer report;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toll-free telephone number that consumers may call to obtain additional assistance concerning the consumer report or to request a security alert;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request for a security alert made by a consumer;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placement, temporary lifting, or removal of a security freeze at the request of a consumer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who has submitted to the consumer reporting agency a copy of a valid police report, investigative report, or complaint involving the alleged commission of an offense under Section 32.51, Penal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consumer's consumer file was affected by a consumer reporting agency's breach of system security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event of a conflict between federal law and this section in the amount a consumer reporting agency may charge, federal law controls.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20.29, Business &amp; Commerce Code, is amended by amending Subsection (c)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consumer reporting agency may not charge a fee for the placement </w:t>
      </w:r>
      <w:r>
        <w:rPr>
          <w:u w:val="single"/>
        </w:rPr>
        <w:t xml:space="preserve">or removal</w:t>
      </w:r>
      <w:r>
        <w:t xml:space="preserve"> of a security freeze under this subchapter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protected consumer's representative submits to the consumer reporting agency a copy of a valid police report, investigative report, or complaint involving the commission of an offense under Section 32.51, Penal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at the time the protected consumer's representative makes the request for a security freeze: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protected consumer is under the age of 16;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consumer reporting agency has created a consumer report pertaining to the protected consumer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the time the protected consumer's representative makes the request for a security freeze, the protected consumer's consumer file was affected by a consumer reporting agency's breach of system security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event of a conflict between federal law and this section in the amount a consumer reporting agency may charge, federal law controls.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