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1428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property owner to bring suit to compel an appraisal district, chief appraiser, or appraisal review board to comply with a procedural requirement applicable to an ad valorem tax protest.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 Tax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LIMITED SUIT TO COMPEL COMPLIANCE WITH PROCEDURAL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w:t>
      </w:r>
      <w:r>
        <w:rPr>
          <w:u w:val="single"/>
        </w:rPr>
        <w:t xml:space="preserve"> </w:t>
      </w:r>
      <w:r>
        <w:rPr>
          <w:u w:val="single"/>
        </w:rPr>
        <w:t xml:space="preserve"> </w:t>
      </w:r>
      <w:r>
        <w:rPr>
          <w:u w:val="single"/>
        </w:rPr>
        <w:t xml:space="preserve">LIMITED SUIT.  (a)</w:t>
      </w:r>
      <w:r>
        <w:rPr>
          <w:u w:val="single"/>
        </w:rPr>
        <w:t xml:space="preserve"> </w:t>
      </w:r>
      <w:r>
        <w:rPr>
          <w:u w:val="single"/>
        </w:rPr>
        <w:t xml:space="preserve"> </w:t>
      </w:r>
      <w:r>
        <w:rPr>
          <w:u w:val="single"/>
        </w:rPr>
        <w:t xml:space="preserve">A property owner who has filed a notice of protest under this chapter may bring suit against an appraisal district, chief appraiser, or appraisal review board to compel the district, chief appraiser, or board to comply with a procedural requirement imposed under this chapter or under a rule established by the board under this chapter that is applicable to the protest.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may bring suit under this section by filing a petition or application in district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may not bring suit under this section unless the property owner has delivered written notice of the procedural requirement the property owner alleges the appraisal district, chief appraiser, or appraisal review board failed to comply with and the appraisal district, chief appraiser, or appraisal review board, as applicable, refuses to comply with the requirement, or does not comply with or agree to comply with the requirement, on or before the 10th day after the date the notice is delivered. </w:t>
      </w:r>
      <w:r>
        <w:rPr>
          <w:u w:val="single"/>
        </w:rPr>
        <w:t xml:space="preserve"> </w:t>
      </w:r>
      <w:r>
        <w:rPr>
          <w:u w:val="single"/>
        </w:rPr>
        <w:t xml:space="preserve">The notice must be delivered by certified mail, return receipt requested, to the chief appraiser if the property owner alleges that the appraisal district or chief appraiser failed to comply with the procedural requirement, or to the chairman of the appraisal review board if the property owner alleges that the appraisal review board failed to comply with the requirement. </w:t>
      </w:r>
      <w:r>
        <w:rPr>
          <w:u w:val="single"/>
        </w:rPr>
        <w:t xml:space="preserve"> </w:t>
      </w:r>
      <w:r>
        <w:rPr>
          <w:u w:val="single"/>
        </w:rPr>
        <w:t xml:space="preserve">The property owner may not file a petition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earlier than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appraisal district, chief appraiser, or appraisal review board, as applicable, refuses to comply with the procedural requirement, if applicable;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11th day after the date the notice is delivered;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later than the 30th day after the first date the property owner is authorized to file the petition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suit brought under this section is for the limited purpose of determining whether the defendant failed to comply with the procedural requirement that is the subject of the suit.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brought under this section may not address the merits of a motion filed under Section 25.25 or a protest filed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w:t>
      </w:r>
      <w:r>
        <w:rPr>
          <w:u w:val="single"/>
        </w:rPr>
        <w:t xml:space="preserve"> </w:t>
      </w:r>
      <w:r>
        <w:rPr>
          <w:u w:val="single"/>
        </w:rPr>
        <w:t xml:space="preserve"> </w:t>
      </w:r>
      <w:r>
        <w:rPr>
          <w:u w:val="single"/>
        </w:rPr>
        <w:t xml:space="preserve">NO DISCOVERY. </w:t>
      </w:r>
      <w:r>
        <w:rPr>
          <w:u w:val="single"/>
        </w:rPr>
        <w:t xml:space="preserve"> </w:t>
      </w:r>
      <w:r>
        <w:rPr>
          <w:u w:val="single"/>
        </w:rPr>
        <w:t xml:space="preserve">Neither party may conduct discovery in a suit brought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The court in which a suit under this subchapter is filed shall set down the matter described in the petition or application for hearing at the earliest possible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end of the hearing, the court must determine the merits of the suit.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the defendant failed to comply with a procedural requirement imposed on the defendant under this chapter or under a rule established by the board under this chapter,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order the defendant to comply with the procedural requirement;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enter any order necessary to preserve rights protected by, and impose duties required by, the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award court costs and reasonable attorney's fees to the property owner.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entered under this section is final and may not be appealed.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41, Tax Code, as added by this Act, applies only to a procedural requirement as described by Section 41.81 of that subchapter that a property owner alleges was required to have been complied with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