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86R13886 TSR-D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Taylor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1436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a required notice concerning an easement or right-of-way in certain Texas Real Estate Commission contract forms.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1101.155, Occupations Code, is amended by adding Subsection (d)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(d)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contract form adopted by the commission for use in the sale of property must include a notice informing the buyer that if the property is subject to, or adjacent to, an easement or right-of-way, the use of the easement or right-of-way, including the construction or maintenance of an improvement, is governed by the documents under which the easement or right-of-way was created, and the use of that easement or right-of-way may affect the value of the buyer's property.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Not later than December 1, 2019, the Texas Real Estate Commission shall update contract forms to comply with Section 1101.155(d), Occupations Code, as added by this Act.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1436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