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Water &amp; Rural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1438</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prohibitions on the disposition of property interests by navigation districts for certain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60.038,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convey or exchange an interest in real property to an individual or private entity for the purpose of bedding or harvesting oysters, regardless of whether the bedding or harvesting is to be done directly by the individual or private entity or the heirs, successors, or assigns of the individual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