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1441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the Texas Higher Education Coordinating Board comparing postsecondary educational outcomes for certain traditional and nontraditional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61, Education Code, is amended by adding Section 61.06692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61.06692.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STUDY COMPARING POSTSECONDARY EDUCATIONAL OUTCOMES FOR CERTAIN TRADITIONAL AND NONTRADITIONAL STUDENTS.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conduct a study comparing postsecondary educational outcomes for students enrolled at institutions of higher education who received a high school diploma and students enrolled at those institutions who received a high school equivalency certificate, disaggregated by the high school equivalency examination completed.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1, 2020, the board shall submit to the governor, the lieutenant governor, and the speaker of the house of representatives a report on the results of the study and any recommendations for legislative or other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