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2493E">
      <w:pPr>
        <w:ind w:firstLine="720"/>
        <w:jc w:val="both"/>
      </w:pPr>
      <w:r>
        <w:t xml:space="preserve">(Turner of Tarrant)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comparing postsecondary educational outcomes for certain traditional and nontraditional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61.06692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COMPARING POSTSECONDARY EDUCATIONAL OUTCOMES FOR CERTAIN TRADITIONAL AND NONTRADITIONAL STUDENTS.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conduct a study comparing postsecondary educational outcomes for students enrolled at institutions of higher education who received a high school diploma and students enrolled at those institutions who received a high school equivalency certificate, disaggregated by the high school equivalency examination completed.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governor, the lieutenant governor, and the speaker of the house of representatives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