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4,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comparing postsecondary educational outcomes for certain traditional and nontraditional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COMPARING POSTSECONDARY EDUCATIONAL OUTCOMES FOR CERTAIN TRADITIONAL AND NONTRADITIONAL STUDENTS.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conduct a study comparing postsecondary educational outcomes for students enrolled at institutions of higher education who received a high school diploma and students enrolled at those institutions who received a high school equivalency certificate, disaggregated by the high school equivalency examination completed.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