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1445</w:t>
      </w:r>
    </w:p>
    <w:p w:rsidR="003F3435" w:rsidRDefault="0032493E">
      <w:pPr>
        <w:ind w:firstLine="720"/>
        <w:jc w:val="both"/>
      </w:pPr>
      <w:r>
        <w:t xml:space="preserve">(Meza, 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simplified certification and recertification requirements for certain persons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administering the supplemental nutrition assistance program, the commission shall, except as provided by Subsection (c) </w:t>
      </w:r>
      <w:r>
        <w:rPr>
          <w:u w:val="single"/>
        </w:rPr>
        <w:t xml:space="preserve">and Section 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SIMPLIFIED CERTIFICATION AND RECERTIFICATION REQUIREMENTS FOR CERTAIN SNAP APPLICANTS AND RECIPIENTS.  (a)</w:t>
      </w:r>
      <w:r>
        <w:rPr>
          <w:u w:val="single"/>
        </w:rPr>
        <w:t xml:space="preserve"> </w:t>
      </w:r>
      <w:r>
        <w:rPr>
          <w:u w:val="single"/>
        </w:rPr>
        <w:t xml:space="preserve"> </w:t>
      </w:r>
      <w:r>
        <w:rPr>
          <w:u w:val="single"/>
        </w:rPr>
        <w:t xml:space="preserve">The commission shall develop and implement simplified certification and recertification requirements for supplemental nutrition assistance program benefits for individuals who are 60 years of age or older and who reside in a household in which every individual residing in the household is 60 years of age or older.  The simplified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an individual described by this section to waive recertification interview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individual to remain eligible for benefits for 36 months after certification and after each recertification.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this section is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a change reporting form every 12 months during the 36-month eligibility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in accordance with federal law, when the individual receives an increase in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 a manner that complies with federal law, use data matching to help enroll in the supplemental nutrition assistance program eligible individuals described by this section who are receiving Medicaid benefits. </w:t>
      </w:r>
      <w:r>
        <w:rPr>
          <w:u w:val="single"/>
        </w:rPr>
        <w:t xml:space="preserve"> </w:t>
      </w:r>
      <w:r>
        <w:rPr>
          <w:u w:val="single"/>
        </w:rPr>
        <w:t xml:space="preserve">The commission may seek or use private funding or contract with a public or private entity to carry out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33.019, Human Resources Code, as added by this Act, applies only to an application or recertification of eligibility of a person for supplemental nutrition assistance program benefits submitted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