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86R13824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a home and community support services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license issued under this chapter expires </w:t>
      </w:r>
      <w:r>
        <w:rPr>
          <w:u w:val="single"/>
        </w:rPr>
        <w:t xml:space="preserve">three</w:t>
      </w:r>
      <w:r>
        <w:t xml:space="preserve"> [</w:t>
      </w:r>
      <w:r>
        <w:rPr>
          <w:strike/>
        </w:rPr>
        <w:t xml:space="preserve">two</w:t>
      </w:r>
      <w:r>
        <w:t xml:space="preserve">] years after the date of issuance. The executive commissioner by rule may adopt a system under which licenses expire on various dates during the </w:t>
      </w:r>
      <w:r>
        <w:rPr>
          <w:u w:val="single"/>
        </w:rPr>
        <w:t xml:space="preserve">three-year</w:t>
      </w:r>
      <w:r>
        <w:t xml:space="preserve"> [</w:t>
      </w:r>
      <w:r>
        <w:rPr>
          <w:strike/>
        </w:rPr>
        <w:t xml:space="preserve">two-year</w:t>
      </w:r>
      <w:r>
        <w:t xml:space="preserve">] period.  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department may issue a temporary license to an applicant for an initial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142.009(j),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