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86R12574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1449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retaliation for municipal annexation disapproval.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43.0688, Local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disapproval of the proposed annexation of an area under this subchapter does not affect any existing legal obligation of the municipality proposing the annexation to continue to provide governmental services in the area, including water or wastewater services</w:t>
      </w:r>
      <w:r>
        <w:rPr>
          <w:u w:val="single"/>
        </w:rPr>
        <w:t xml:space="preserve">, regardless of whether the municipality holds a certificate of convenience and necessity to serve the area</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makes a wholesale sale of water to a special district operating under Chapter 36 or Title 4, Water Code, may not charge rates for the water that are higher than rates charged in other similarly situated areas solely because the district is wholly or partly located in an area that disapproved of a proposed annexation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43.0699, Local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disapproval of the proposed annexation of an area under this subchapter does not affect any existing legal obligation of the municipality proposing the annexation to continue to provide governmental services in the area, including water or wastewater services</w:t>
      </w:r>
      <w:r>
        <w:rPr>
          <w:u w:val="single"/>
        </w:rPr>
        <w:t xml:space="preserve">, regardless of whether the municipality holds a certificate of convenience and necessity to serve the area</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makes a wholesale sale of water to a special district operating under Chapter 36 or Title 4, Water Code, may not charge rates for the water that are higher than rates charged in other similarly situated areas solely because the district is wholly or partly located in an area that disapproved of a proposed annexation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