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1451</w:t>
      </w:r>
    </w:p>
    <w:p w:rsidR="003F3435" w:rsidRDefault="0032493E">
      <w:pPr>
        <w:ind w:firstLine="720"/>
        <w:jc w:val="both"/>
      </w:pPr>
      <w:r>
        <w:t xml:space="preserve">(Ashby)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ability of public school teachers to maintain student discipline without being subjected to adverse employment consequences.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21.351,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criteria described by Subsection (a)(1), the commissioner shall ensure that a teacher may not be assigned an area of deficiency in an appraisal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not assign an area of deficiency to a teacher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teacher may document any conduct by a student that does not conform to the student code of conduct adopted under Section 37.001 and may submit that documentation to the principal. </w:t>
      </w:r>
      <w:r>
        <w:rPr>
          <w:u w:val="single"/>
        </w:rPr>
        <w:t xml:space="preserve"> </w:t>
      </w:r>
      <w:r>
        <w:rPr>
          <w:u w:val="single"/>
        </w:rPr>
        <w:t xml:space="preserve">A school district may not discipline a teacher on the basis of documentation submitted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