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1453</w:t>
      </w:r>
    </w:p>
    <w:p w:rsidR="003F3435" w:rsidRDefault="0032493E">
      <w:pPr>
        <w:ind w:firstLine="720"/>
        <w:jc w:val="both"/>
      </w:pPr>
      <w:r>
        <w:t xml:space="preserve">(Ashby)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use of calculator applications in place of graphing calculators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Z, Chapter 25, Education Code, is amended by adding Section 25.904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25.904.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USE OF CALCULATOR APPLICATION IN PLACE OF GRAPHING CALCULATOR.  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shall permit a student enrolled in a course that requires the student to use a graphing calculator to use a calculator application on a computing device, including a personal, laptop, or tablet computer, that provides the same functionality, unless the district makes available to the student a graphing calculator at no cost to the student.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school district may adopt policies related to student use of a computing device under this section.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To the extent this section conflicts with Section 37.082, this section prevails.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The Texas Education Agency is required to implement a provision of this Act only if the legislature appropriates money specifically for that purpose. </w:t>
      </w:r>
      <w:r>
        <w:t xml:space="preserve"> </w:t>
      </w:r>
      <w:r>
        <w:t xml:space="preserve">If the legislature does not appropriate money specifically for that purpose, the Texas Education Agency may, but is not required to, implement a provision of this Act using other appropriations available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2019-2020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1453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