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86R12630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1457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the offense of manufacture or delivery of a substance in Penalty Group 1 of the Texas Controlled Substances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42A.555(a),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judge assessing punishment in a state jail felony case may impose as a condition of community supervision that a defendant submit at the beginning of the period of community supervision to a term of confinement in a state jail felony facility for a term of:</w:t>
      </w:r>
    </w:p>
    <w:p w:rsidR="003F3435" w:rsidRDefault="0032493E">
      <w:pPr>
        <w:spacing w:line="480" w:lineRule="auto"/>
        <w:ind w:firstLine="1440"/>
        <w:jc w:val="both"/>
      </w:pPr>
      <w:r>
        <w:t xml:space="preserve">(1)</w:t>
      </w:r>
      <w:r xml:space="preserve">
        <w:t> </w:t>
      </w:r>
      <w:r xml:space="preserve">
        <w:t> </w:t>
      </w:r>
      <w:r>
        <w:t xml:space="preserve">not less than 90 days or more than 180 days; or</w:t>
      </w:r>
    </w:p>
    <w:p w:rsidR="003F3435" w:rsidRDefault="0032493E">
      <w:pPr>
        <w:spacing w:line="480" w:lineRule="auto"/>
        <w:ind w:firstLine="1440"/>
        <w:jc w:val="both"/>
      </w:pPr>
      <w:r>
        <w:t xml:space="preserve">(2)</w:t>
      </w:r>
      <w:r xml:space="preserve">
        <w:t> </w:t>
      </w:r>
      <w:r xml:space="preserve">
        <w:t> </w:t>
      </w:r>
      <w:r>
        <w:t xml:space="preserve">not less than 90 days or more than one year, if the defendant is convicted of an offense punishable as a state jail felony under Section [</w:t>
      </w:r>
      <w:r>
        <w:rPr>
          <w:strike/>
        </w:rPr>
        <w:t xml:space="preserve">481.112,</w:t>
      </w:r>
      <w:r>
        <w:t xml:space="preserve">] 481.1121, 481.113, or 481.120,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481.112(b),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w:t>
      </w:r>
      <w:r>
        <w:rPr>
          <w:strike/>
        </w:rPr>
        <w:t xml:space="preserve">state jail</w:t>
      </w:r>
      <w:r>
        <w:t xml:space="preserve">] felony </w:t>
      </w:r>
      <w:r>
        <w:rPr>
          <w:u w:val="single"/>
        </w:rPr>
        <w:t xml:space="preserve">of the third degree</w:t>
      </w:r>
      <w:r>
        <w:t xml:space="preserve"> if the amount of the controlled substance to which the offense applies is, by aggregate weight, including adulterants or dilutants, less than one 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481.134(b), (c),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An offense otherwise punishable as a state jail felony under Section [</w:t>
      </w:r>
      <w:r>
        <w:rPr>
          <w:strike/>
        </w:rPr>
        <w:t xml:space="preserve">481.112,</w:t>
      </w:r>
      <w:r>
        <w:t xml:space="preserve">] 481.1121, 481.113, 481.114, or 481.120 is punishable as a felony of the third degree, and an offense otherwise punishable as a felony of the second degree under any of those sections is punishable as a felony of the first degree, if it is shown at the punishment phase of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premises owned, rented, or leased by an institution of higher learning,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in, on, or within 300 feet of the premises of a public swimming pool or video arcade facility.</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w:t>
      </w:r>
      <w:r>
        <w:rPr>
          <w:u w:val="single"/>
        </w:rPr>
        <w:t xml:space="preserve">481.112(b), (c)</w:t>
      </w:r>
      <w:r>
        <w:t xml:space="preserve"> [</w:t>
      </w:r>
      <w:r>
        <w:rPr>
          <w:strike/>
        </w:rPr>
        <w:t xml:space="preserve">481.112(c)</w:t>
      </w:r>
      <w:r>
        <w:t xml:space="preserve">], (d), (e), or (f), 481.1121(b)(2), (3), or (4), 481.113(c), (d), or (e), 481.114(c), (d), or (e), 481.115(c)-(f), 481.1151(b)(2), (3), (4), or (5), 481.116(c), (d), or (e), 481.1161(b)(4), (5), or (6), 481.117(c), (d), or (e), 481.118(c), (d), or (e), 481.120(b)(4), (5), or (6), or 481.121(b)(4), (5), or (6)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An offense otherwise punishable under Section [</w:t>
      </w:r>
      <w:r>
        <w:rPr>
          <w:strike/>
        </w:rPr>
        <w:t xml:space="preserve">481.112(b),</w:t>
      </w:r>
      <w:r>
        <w:t xml:space="preserve">] 481.1121(b)(1), 481.113(b), 481.114(b), 481.115(b), 481.1151(b)(1), 481.116(b), 481.1161(b)(3), 481.120(b)(3), or 481.121(b)(3) is a felony of the third degree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any real property that is owned, rented, or leased to a school or school board,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