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Hinojosa</w:t>
      </w:r>
      <w:r xml:space="preserve">
        <w:tab wTab="150" tlc="none" cTlc="0"/>
      </w:r>
      <w:r>
        <w:t xml:space="preserve">S.B.</w:t>
      </w:r>
      <w:r xml:space="preserve">
        <w:t> </w:t>
      </w:r>
      <w:r>
        <w:t xml:space="preserve">No.</w:t>
      </w:r>
      <w:r xml:space="preserve">
        <w:t> </w:t>
      </w:r>
      <w:r>
        <w:t xml:space="preserve">1458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compliance with federal coding guidelines for certain divisions and offices within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531.1023, Government Code, is amended to read as follows:</w:t>
      </w:r>
    </w:p>
    <w:p w:rsidR="003F3435" w:rsidRDefault="0032493E">
      <w:pPr>
        <w:spacing w:line="480" w:lineRule="auto"/>
        <w:ind w:firstLine="720"/>
        <w:jc w:val="both"/>
      </w:pPr>
      <w:r>
        <w:t xml:space="preserve">Sec.</w:t>
      </w:r>
      <w:r xml:space="preserve">
        <w:t> </w:t>
      </w:r>
      <w:r>
        <w:t xml:space="preserve">531.1023.</w:t>
      </w:r>
      <w:r xml:space="preserve">
        <w:t> </w:t>
      </w:r>
      <w:r xml:space="preserve">
        <w:t> </w:t>
      </w:r>
      <w:r>
        <w:t xml:space="preserve">COMPLIANCE WITH FEDERAL CODING GUIDELINES. </w:t>
      </w:r>
      <w:r>
        <w:t xml:space="preserve"> </w:t>
      </w:r>
      <w:r>
        <w:rPr>
          <w:u w:val="single"/>
        </w:rPr>
        <w:t xml:space="preserve">(a)</w:t>
      </w:r>
      <w:r xml:space="preserve">
        <w:t> </w:t>
      </w:r>
      <w:r xml:space="preserve">
        <w:t> </w:t>
      </w:r>
      <w:r>
        <w:t xml:space="preserve">The commission's office of inspector general, including office staff and any third party with which the office contracts to perform coding services, </w:t>
      </w:r>
      <w:r>
        <w:rPr>
          <w:u w:val="single"/>
        </w:rPr>
        <w:t xml:space="preserve">and the commission's medical and utilization review appeals unit</w:t>
      </w:r>
      <w:r>
        <w:t xml:space="preserve"> shall comply with federal coding guidelines, including guidelines for diagnosis-related group (DRG) validation and related audits.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"federal coding guidelines" means the code sets and guidelines adopted by the United States Department of Health and Human Services in accordance with the Health Insurance Portability and Accountability Act of 1996 (42 U.S.C. Section 1320d et seq.).</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