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86R9085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1465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affidavits concerning cost and necessity of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18.001, Civil Practice and Remedies Code, is amended by amending Subsections (b), (c), (d), (e), and (f) and adding Subsections (d-1), (g), (h), and (i) to read as follows:</w:t>
      </w:r>
    </w:p>
    <w:p w:rsidR="003F3435" w:rsidRDefault="0032493E">
      <w:pPr>
        <w:spacing w:line="480" w:lineRule="auto"/>
        <w:ind w:firstLine="720"/>
        <w:jc w:val="both"/>
      </w:pPr>
      <w:r>
        <w:t xml:space="preserve">(b)</w:t>
      </w:r>
      <w:r xml:space="preserve">
        <w:t> </w:t>
      </w:r>
      <w:r xml:space="preserve">
        <w:t> </w:t>
      </w:r>
      <w:r>
        <w:t xml:space="preserve">Unless a controverting affidavit is served as provided by this section, an affidavit that the amount a person charged for a service was reasonable at the time and place that the service was provided and that the service was necessary is sufficient evidence to support a finding of fact by judge or jury that the amount charged was reasonable or that the service was necessary.  </w:t>
      </w:r>
      <w:r>
        <w:rPr>
          <w:u w:val="single"/>
        </w:rPr>
        <w:t xml:space="preserve">The affidavit is not evidence of and does not support a finding of the causation element of the cause of action that is the basis for the civil action.</w:t>
      </w:r>
    </w:p>
    <w:p w:rsidR="003F3435" w:rsidRDefault="0032493E">
      <w:pPr>
        <w:spacing w:line="480" w:lineRule="auto"/>
        <w:ind w:firstLine="720"/>
        <w:jc w:val="both"/>
      </w:pPr>
      <w:r>
        <w:t xml:space="preserve">(c)</w:t>
      </w:r>
      <w:r xml:space="preserve">
        <w:t> </w:t>
      </w:r>
      <w:r xml:space="preserve">
        <w:t> </w:t>
      </w:r>
      <w:r>
        <w:t xml:space="preserve">The affidavit must:</w:t>
      </w:r>
    </w:p>
    <w:p w:rsidR="003F3435" w:rsidRDefault="0032493E">
      <w:pPr>
        <w:spacing w:line="480" w:lineRule="auto"/>
        <w:ind w:firstLine="1440"/>
        <w:jc w:val="both"/>
      </w:pPr>
      <w:r>
        <w:t xml:space="preserve">(1)</w:t>
      </w:r>
      <w:r xml:space="preserve">
        <w:t> </w:t>
      </w:r>
      <w:r xml:space="preserve">
        <w:t> </w:t>
      </w:r>
      <w:r>
        <w:t xml:space="preserve">be taken before an officer with authority to administer oaths;</w:t>
      </w:r>
    </w:p>
    <w:p w:rsidR="003F3435" w:rsidRDefault="0032493E">
      <w:pPr>
        <w:spacing w:line="480" w:lineRule="auto"/>
        <w:ind w:firstLine="1440"/>
        <w:jc w:val="both"/>
      </w:pPr>
      <w:r>
        <w:t xml:space="preserve">(2)</w:t>
      </w:r>
      <w:r xml:space="preserve">
        <w:t> </w:t>
      </w:r>
      <w:r xml:space="preserve">
        <w:t> </w:t>
      </w:r>
      <w:r>
        <w:t xml:space="preserve">be made by:</w:t>
      </w:r>
    </w:p>
    <w:p w:rsidR="003F3435" w:rsidRDefault="0032493E">
      <w:pPr>
        <w:spacing w:line="480" w:lineRule="auto"/>
        <w:ind w:firstLine="2160"/>
        <w:jc w:val="both"/>
      </w:pPr>
      <w:r>
        <w:t xml:space="preserve">(A)</w:t>
      </w:r>
      <w:r xml:space="preserve">
        <w:t> </w:t>
      </w:r>
      <w:r xml:space="preserve">
        <w:t> </w:t>
      </w:r>
      <w:r>
        <w:t xml:space="preserve">the person who provided the service; or</w:t>
      </w:r>
    </w:p>
    <w:p w:rsidR="003F3435" w:rsidRDefault="0032493E">
      <w:pPr>
        <w:spacing w:line="480" w:lineRule="auto"/>
        <w:ind w:firstLine="2160"/>
        <w:jc w:val="both"/>
      </w:pPr>
      <w:r>
        <w:t xml:space="preserve">(B)</w:t>
      </w:r>
      <w:r xml:space="preserve">
        <w:t> </w:t>
      </w:r>
      <w:r xml:space="preserve">
        <w:t> </w:t>
      </w:r>
      <w:r>
        <w:t xml:space="preserve">the person in charge of records </w:t>
      </w:r>
      <w:r>
        <w:rPr>
          <w:u w:val="single"/>
        </w:rPr>
        <w:t xml:space="preserve">for the provider</w:t>
      </w:r>
      <w:r>
        <w:t xml:space="preserve"> </w:t>
      </w:r>
      <w:r>
        <w:t xml:space="preserve">showing the service provided and charge made; and</w:t>
      </w:r>
    </w:p>
    <w:p w:rsidR="003F3435" w:rsidRDefault="0032493E">
      <w:pPr>
        <w:spacing w:line="480" w:lineRule="auto"/>
        <w:ind w:firstLine="1440"/>
        <w:jc w:val="both"/>
      </w:pPr>
      <w:r>
        <w:t xml:space="preserve">(3)</w:t>
      </w:r>
      <w:r xml:space="preserve">
        <w:t> </w:t>
      </w:r>
      <w:r xml:space="preserve">
        <w:t> </w:t>
      </w:r>
      <w:r>
        <w:t xml:space="preserve">include an itemized statement of the service and charge.</w:t>
      </w:r>
    </w:p>
    <w:p w:rsidR="003F3435" w:rsidRDefault="0032493E">
      <w:pPr>
        <w:spacing w:line="480" w:lineRule="auto"/>
        <w:ind w:firstLine="720"/>
        <w:jc w:val="both"/>
      </w:pPr>
      <w:r>
        <w:t xml:space="preserve">(d)</w:t>
      </w:r>
      <w:r xml:space="preserve">
        <w:t> </w:t>
      </w:r>
      <w:r xml:space="preserve">
        <w:t> </w:t>
      </w:r>
      <w:r>
        <w:t xml:space="preserve">The party offering the affidavit in evidence or the party's attorney must serve a copy of the affidavit on each other party to the case </w:t>
      </w:r>
      <w:r>
        <w:rPr>
          <w:u w:val="single"/>
        </w:rPr>
        <w:t xml:space="preserve">not later than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90</w:t>
      </w:r>
      <w:r>
        <w:t xml:space="preserve"> [</w:t>
      </w:r>
      <w:r>
        <w:rPr>
          <w:strike/>
        </w:rPr>
        <w:t xml:space="preserve">at least 30</w:t>
      </w:r>
      <w:r>
        <w:t xml:space="preserve">] days before the </w:t>
      </w:r>
      <w:r>
        <w:rPr>
          <w:u w:val="single"/>
        </w:rPr>
        <w:t xml:space="preserve">date</w:t>
      </w:r>
      <w:r>
        <w:t xml:space="preserve"> [</w:t>
      </w:r>
      <w:r>
        <w:rPr>
          <w:strike/>
        </w:rPr>
        <w:t xml:space="preserve">day on which evidence is first presented at</w:t>
      </w:r>
      <w:r>
        <w:t xml:space="preserve">] the trial </w:t>
      </w:r>
      <w:r>
        <w:rPr>
          <w:u w:val="single"/>
        </w:rPr>
        <w:t xml:space="preserve">commences;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offering party must designate any expert witnesses under a scheduling order</w:t>
      </w:r>
      <w:r>
        <w:t xml:space="preserve"> </w:t>
      </w:r>
      <w:r>
        <w:t xml:space="preserve">[</w:t>
      </w:r>
      <w:r>
        <w:rPr>
          <w:strike/>
        </w:rPr>
        <w:t xml:space="preserve">of the case</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party offering the affidavit in evidence or the party's attorney must file notice with the clerk of the court, not later than the latest date for serving a copy of the affidavit under Subsection (d), that the party or the attorney served a copy of the affidavit in accordance with this section.</w:t>
      </w:r>
      <w:r>
        <w:t xml:space="preserve">  Except as provided by the Texas Rules of Evidence, [</w:t>
      </w:r>
      <w:r>
        <w:rPr>
          <w:strike/>
        </w:rPr>
        <w:t xml:space="preserve">the records attached to</w:t>
      </w:r>
      <w:r>
        <w:t xml:space="preserve">] the affidavit </w:t>
      </w:r>
      <w:r>
        <w:rPr>
          <w:u w:val="single"/>
        </w:rPr>
        <w:t xml:space="preserve">is</w:t>
      </w:r>
      <w:r>
        <w:t xml:space="preserve"> [</w:t>
      </w:r>
      <w:r>
        <w:rPr>
          <w:strike/>
        </w:rPr>
        <w:t xml:space="preserve">are</w:t>
      </w:r>
      <w:r>
        <w:t xml:space="preserve">] not required to be filed with the clerk of the court before the trial commences.</w:t>
      </w:r>
    </w:p>
    <w:p w:rsidR="003F3435" w:rsidRDefault="0032493E">
      <w:pPr>
        <w:spacing w:line="480" w:lineRule="auto"/>
        <w:ind w:firstLine="720"/>
        <w:jc w:val="both"/>
      </w:pPr>
      <w:r>
        <w:t xml:space="preserve">(e)</w:t>
      </w:r>
      <w:r xml:space="preserve">
        <w:t> </w:t>
      </w:r>
      <w:r xml:space="preserve">
        <w:t> </w:t>
      </w:r>
      <w:r>
        <w:t xml:space="preserve">A party intending to controvert a claim reflected by the affidavit must serve a copy of the counteraffidavit on each other party or the party's attorney of record </w:t>
      </w:r>
      <w:r>
        <w:rPr>
          <w:u w:val="single"/>
        </w:rPr>
        <w:t xml:space="preserve">by the earlier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60 days before the date the trial commences</w:t>
      </w:r>
      <w:r>
        <w:t xml:space="preserve"> [</w:t>
      </w:r>
      <w:r>
        <w:rPr>
          <w:strike/>
        </w:rPr>
        <w:t xml:space="preserve">not later than: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30 days after the day the party receives a copy of the affidavit;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at least 14 days before the day on which evidence is first presented at the trial of the case</w:t>
      </w:r>
      <w:r>
        <w:t xml:space="preserve">]; or</w:t>
      </w:r>
    </w:p>
    <w:p w:rsidR="003F3435" w:rsidRDefault="0032493E">
      <w:pPr>
        <w:spacing w:line="480" w:lineRule="auto"/>
        <w:ind w:firstLine="1440"/>
        <w:jc w:val="both"/>
      </w:pPr>
      <w:r>
        <w:t xml:space="preserve">(2)</w:t>
      </w:r>
      <w:r xml:space="preserve">
        <w:t> </w:t>
      </w:r>
      <w:r xml:space="preserve">
        <w:t> </w:t>
      </w:r>
      <w:r>
        <w:rPr>
          <w:u w:val="single"/>
        </w:rPr>
        <w:t xml:space="preserve">the date the controverting party must designate expert witnesses under a scheduling order</w:t>
      </w:r>
      <w:r>
        <w:t xml:space="preserve"> [</w:t>
      </w:r>
      <w:r>
        <w:rPr>
          <w:strike/>
        </w:rPr>
        <w:t xml:space="preserve">with leave of the court, at any time before the commencement of evidence at trial</w:t>
      </w:r>
      <w:r>
        <w:t xml:space="preserve">].</w:t>
      </w:r>
    </w:p>
    <w:p w:rsidR="003F3435" w:rsidRDefault="0032493E">
      <w:pPr>
        <w:spacing w:line="480" w:lineRule="auto"/>
        <w:ind w:firstLine="720"/>
        <w:jc w:val="both"/>
      </w:pPr>
      <w:r>
        <w:t xml:space="preserve">(f)</w:t>
      </w:r>
      <w:r xml:space="preserve">
        <w:t> </w:t>
      </w:r>
      <w:r xml:space="preserve">
        <w:t> </w:t>
      </w:r>
      <w:r>
        <w:t xml:space="preserve">The counteraffidavit must give reasonable notice of the basis on which the party serving it intends at trial to controvert the claim reflected by the initial affidavit and must be taken before a person authorized to administer oaths. </w:t>
      </w:r>
      <w:r>
        <w:t xml:space="preserve"> </w:t>
      </w:r>
      <w:r>
        <w:t xml:space="preserve">The counteraffidavit must be made by a person who is qualified, by knowledge, skill, experience, training, education, or other expertise, to testify in contravention of all or part of any of the matters contained in the initial affidavit. </w:t>
      </w:r>
      <w:r>
        <w:t xml:space="preserve"> </w:t>
      </w:r>
      <w:r>
        <w:rPr>
          <w:u w:val="single"/>
        </w:rPr>
        <w:t xml:space="preserve">The counteraffidavit may not be used to controvert the causation element of the cause of action that is the basis for the civil action.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last date for serving a copy of the counteraffidavit under Subsection (e), the party offering the counteraffidavit in evidence or the party's attorney must file written notice with the clerk of the court that the party or attorney served a copy of the counteraffidavit in accordance with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continuing services are provided after a relevant deadline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may supplement an affidavit served by the party under Subsection (b) on or before the 30th day before the date trial commences;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party that served a counteraffidavit under Subsection (e) may supplement the counteraffidavit on or before the 14th day before the date trial commences.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Subsections (d), (d-1), (e), (g), and (h), a deadline under this section may be altered by all parties to an action by agreement or with leave of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