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w:t>
      </w:r>
      <w:r>
        <w:rPr>
          <w:u w:val="single"/>
        </w:rPr>
        <w:t xml:space="preserve">Subsection</w:t>
      </w:r>
      <w:r>
        <w:t xml:space="preserve"> [</w:t>
      </w:r>
      <w:r>
        <w:rPr>
          <w:strike/>
        </w:rPr>
        <w:t xml:space="preserve">Subsections</w:t>
      </w:r>
      <w:r>
        <w:t xml:space="preserve">] (a)(7)(A) [</w:t>
      </w:r>
      <w:r>
        <w:rPr>
          <w:strike/>
        </w:rPr>
        <w:t xml:space="preserve">and (C)</w:t>
      </w:r>
      <w:r>
        <w:t xml:space="preserve">] and Section 351.1076 are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