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</w:p>
    <w:p w:rsidR="003F3435" w:rsidRDefault="0032493E">
      <w:pPr>
        <w:ind w:firstLine="720"/>
        <w:jc w:val="both"/>
      </w:pPr>
      <w:r>
        <w:t xml:space="preserve">(Goodwin)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municipally owned water utility;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party to a strategic partnership agreement: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municipal utility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which the municipality contemplates annexing 400 or more water or wastewater connections that are not located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authorized or required to annex a district for full purposes under a strategic partnership agreement under Section 43.0751: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annex the district without also annexing all of the unincorporated area served by the district that is located in the municipality's extraterritorial jurisdiction;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receive approval for the annexations under the agreement and Subdivision (1) as required by Subchapter C-3, C-4, or C-5, as applicable, before annexation.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above subsection shall not apply to a county with a population of more than 1.7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