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86R8596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political subdivision's adoption of zoning regulations for certain coin-operated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2153.452,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2153.452.</w:t>
      </w:r>
      <w:r xml:space="preserve">
        <w:t> </w:t>
      </w:r>
      <w:r xml:space="preserve">
        <w:t> </w:t>
      </w:r>
      <w:r>
        <w:t xml:space="preserve">ZONING. </w:t>
      </w:r>
      <w:r>
        <w:t xml:space="preserve">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(a)  For purposes of zoning, a</w:t>
      </w:r>
      <w:r>
        <w:t xml:space="preserve">] political subdivision of this state </w:t>
      </w:r>
      <w:r>
        <w:rPr>
          <w:u w:val="single"/>
        </w:rPr>
        <w:t xml:space="preserve">may adopt zoning regulations to govern</w:t>
      </w:r>
      <w:r>
        <w:t xml:space="preserve"> [</w:t>
      </w:r>
      <w:r>
        <w:rPr>
          <w:strike/>
        </w:rPr>
        <w:t xml:space="preserve">shall treat</w:t>
      </w:r>
      <w:r>
        <w:t xml:space="preserve">] the exhibition of a music or skill or pleasure coin-operated machine [</w:t>
      </w:r>
      <w:r>
        <w:rPr>
          <w:strike/>
        </w:rPr>
        <w:t xml:space="preserve">in the same manner as the political subdivision treats the principal use of the property where the machine is exhibited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Subsection (a) does not prohibit a municipality from restricting the exhibition of a coin-operated amusement machine within 300 feet of a church, school, or hospital.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