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86R12704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1471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an additional fee for the registration of electric and hybrid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ADDITIONAL FEE FOR ELECTRIC AND HYBRID VEHICLES.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"Electric vehicle" means a motor vehicle that uses electricity as its only source of motor power.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"Hybrid vehicle" means a motor vehicle that uses gasoline or conventional diesel fuel and electricity as its sources of motor power.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electric vehicle or hybrid vehicle, the applicant shall pay an additional fee as determined by the board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in consultation with the Texas A&amp;M Transportation Institute, shall calculate and recommend to the board an additional registration fee based on the average annual amount of taxes imposed under Chapter 162, Tax Code, that an electric vehicle or hybrid vehicle would pay if the vehicle operated only on gasoline or diesel fuel. </w:t>
      </w:r>
      <w:r>
        <w:rPr>
          <w:u w:val="single"/>
        </w:rPr>
        <w:t xml:space="preserve"> </w:t>
      </w:r>
      <w:r>
        <w:rPr>
          <w:u w:val="single"/>
        </w:rPr>
        <w:t xml:space="preserve">The board by rule shall set the fee imposed under this section based on the recommendation made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Fees collected under this section shall be deposited to the credit of the state highway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502.360(b), Transportation Code, as added by 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