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1476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5,</w:t>
      </w:r>
      <w:r xml:space="preserve">
        <w:t> </w:t>
      </w:r>
      <w:r>
        <w:t xml:space="preserve">2019; March</w:t>
      </w:r>
      <w:r xml:space="preserve">
        <w:t> </w:t>
      </w:r>
      <w:r>
        <w:t xml:space="preserve">14,</w:t>
      </w:r>
      <w:r xml:space="preserve">
        <w:t> </w:t>
      </w:r>
      <w:r>
        <w:t xml:space="preserve">2019, read first time and referred to Committee on Education; March</w:t>
      </w:r>
      <w:r xml:space="preserve">
        <w:t> </w:t>
      </w:r>
      <w:r>
        <w:t xml:space="preserve">27,</w:t>
      </w:r>
      <w:r xml:space="preserve">
        <w:t> </w:t>
      </w:r>
      <w:r>
        <w:t xml:space="preserve">2019, reported favorably by the following vote:</w:t>
      </w:r>
      <w:r>
        <w:t xml:space="preserve"> </w:t>
      </w:r>
      <w:r>
        <w:t xml:space="preserve"> </w:t>
      </w:r>
      <w:r>
        <w:t xml:space="preserve">Yeas 11, Nays 0; March</w:t>
      </w:r>
      <w:r xml:space="preserve">
        <w:t> </w:t>
      </w:r>
      <w:r>
        <w:t xml:space="preserve">27,</w:t>
      </w:r>
      <w:r xml:space="preserve">
        <w:t> </w:t>
      </w:r>
      <w:r>
        <w:t xml:space="preserve">2019,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Taylor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Lucio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Fallon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Powell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Watson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requirement for certain administrators of certain educational entities to report certain educator misconduct to the State Board for Educator Certification.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21.006, Education Code, is amended by amending Subsections (b) and (c) and adding Subsection (c-2)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addition to the reporting requirement under Section 261.101, Family Code, </w:t>
      </w:r>
      <w:r>
        <w:rPr>
          <w:u w:val="single"/>
        </w:rPr>
        <w:t xml:space="preserve">and except as provided by Subsection (c-2),</w:t>
      </w:r>
      <w:r>
        <w:t xml:space="preserve"> the superintendent or director of a school district, district of innovation, open-enrollment charter school, regional education service center, or shared services arrangement shall notify the State Board for Educator Certification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educator employed by or seeking employment by the school district, district of innovation, charter school, service center, or shared services arrangement has a criminal record and the school district, district of innovation, charter school, service center, or shared services arrangement obtained information about the educator's criminal record by a means other than the criminal history clearinghouse established under Section 411.0845, Government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educator's employment at the school district, district of innovation, charter school, service center, or shared services arrangement was terminated and there is evidence that the educator: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abused or otherwise committed an unlawful act with a student or minor;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(A-1)</w:t>
      </w:r>
      <w:r xml:space="preserve">
        <w:t> </w:t>
      </w:r>
      <w:r xml:space="preserve">
        <w:t> </w:t>
      </w:r>
      <w:r>
        <w:t xml:space="preserve">was involved in a romantic relationship with or solicited or engaged in sexual contact with a student or minor;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possessed, transferred, sold, or distributed a controlled substance, as defined by Chapter 481, Health and Safety Code, or by 21 U.S.C. Section 801 et seq.;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illegally transferred, appropriated, or expended funds or other property of the school district, district of innovation, charter school, service center, or shared services arrangement;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attempted by fraudulent or unauthorized means to obtain or alter a professional certificate or license for the purpose of promotion or additional compensation;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committed a criminal offense or any part of a criminal offense on school property or at a school-sponsored event;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educator resigned and there is evidence that the educator engaged in misconduct described by Subdivision (2);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educator engaged in conduct that violated the assessment instrument security procedures established under Section 39.0301.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Subsection (c-2), the</w:t>
      </w:r>
      <w:r>
        <w:t xml:space="preserve"> [</w:t>
      </w:r>
      <w:r>
        <w:rPr>
          <w:strike/>
        </w:rPr>
        <w:t xml:space="preserve">The</w:t>
      </w:r>
      <w:r>
        <w:t xml:space="preserve">] superintendent or director must notify the State Board for Educator Certification by filing a report with the board not later than the seventh business day after the date the superintendent or director receives a report from a principal under Subsection (b-2) or knew about an educator's termination of employment or resignation following an alleged incident of misconduct described by Subsection (b) or an employee's criminal record under Subsection (b)(1).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superintendent or director of a school district, district of innovation, open-enrollment charter school, regional education service center, or shared services arrangement is not required to notify the State Board for Educator Certification or file a report with the board under Subsection (b) or (c) if the superintendent or director: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completes an investigation into an educator's alleged incident of misconduct described by Subsection (b)(2)(A) or (A-1) before the educator's termination of employment or resignation;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determines the educator did not engage in the alleged incident of misconduct described by Subsection (b)(2)(A) or (A-1).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2019-2020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1476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