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86R5077 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Buckingham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property as a historic landmark by a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211, Local Government Code, is amended by adding Section 211.0165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211.0165.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OWNER CONSENT REQUIRED TO DESIGNATE HISTORIC LANDMARK.  A municipality that has established a process for designating places or areas of historical, cultural, or architectural importance and significance through the adoption of zoning regulations or zoning district boundaries may not designate a property as a local historic landmark unless the owner of the property consents to the designation. </w:t>
      </w:r>
      <w:r>
        <w:rPr>
          <w:u w:val="single"/>
        </w:rPr>
        <w:t xml:space="preserve"> </w:t>
      </w:r>
      <w:r>
        <w:rPr>
          <w:u w:val="single"/>
        </w:rPr>
        <w:t xml:space="preserve">The municipality must allow an owner to withdraw consent at any time during the designation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211.0165, Local Government Code, as added by this Act, applies only to a designation of a property as a historic landmark made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