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1491</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a nursing facility resident's responsible payor for misappropriation of the resident's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242, Health and Safety Code, is amended by adding Section 242.020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242.020.</w:t>
      </w:r>
      <w:r>
        <w:rPr>
          <w:u w:val="single"/>
        </w:rPr>
        <w:t xml:space="preserve"> </w:t>
      </w:r>
      <w:r>
        <w:rPr>
          <w:u w:val="single"/>
        </w:rPr>
        <w:t xml:space="preserve"> </w:t>
      </w:r>
      <w:r>
        <w:rPr>
          <w:u w:val="single"/>
        </w:rPr>
        <w:t xml:space="preserve">CIVIL LIABILITY RELATED TO MISAPPROPRIATION OF RESIDENT'S FUNDS.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"Misappropriate" means the taking, secretion, misapplication, deprivation, transfer, or attempted transfer to any person not entitled to receive any real or personal property or anything of value belonging or under the legal control of a resident without the effective consent of the resident or other appropriate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 payor"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legal access to the resident's income or resources available to pay for nursing facility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signed an admission agreement or other contract with the facility in which the person agrees to provide payment for the resident's facility care from the resident's income or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may file an action against a resident's responsible payor for an amount owed by the resident to the facility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admission of the resident, the facility obtains financial information from the resident or responsible payor demonstrating the amount of financial resources that the resident has available to pay for nursing facility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resident begins to reside at the facility, the responsible payor misappropriates the resident's resources to a degree that the resident is unable to afford to pay for the resident's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prevailing party in an action filed under this section may recover attorney's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action filed under this section, a nursing facility may not recover a total amount, including damages and attorney's fees, that exceeds the amount the responsible payor has misappropriated from the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242.020,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