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1494</w:t>
      </w:r>
    </w:p>
    <w:p w:rsidR="003F3435" w:rsidRDefault="0032493E">
      <w:pPr>
        <w:ind w:firstLine="720"/>
        <w:jc w:val="both"/>
      </w:pPr>
      <w:r>
        <w:t xml:space="preserve">(Wu, Miller, Klick, Hinojosa, 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personal information of certain employees and contractors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or investigator functions for the contractor on behalf of the department</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