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86R6054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insurers to make investments in bond exchange-traded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424, Insurance Code, is amended by adding Section 424.075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424.075.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insurer may invest the insurer's funds in excess of minimum capital and surplus in shares of a bond exchange-traded fund registered under the Investment Company Act of 1940 (15 U.S.C. Section 80a-1 et seq.), as amended,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securities valuation office has designated the exchange-traded fund as meeting the criteria to be placed on the list promulgated by the securities valuation office of exchange-traded funds eligible for reporting as a statutory long-term bond obligation on Internal Revenue Service Form 1040, Schedule 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insurer's investment in the exchange-traded fund does not exceed 15 percent of the insurer's capital and surplus.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deposit with the department shares of a bond exchange-traded fund described by Subsection (a) as a statutory deposit if state law requires a statutory deposit from the insurer.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425, Insurance Code, is amended by adding Section 425.1231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425.1231.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insurance company may invest the insurer's funds in excess of minimum capital and surplus in shares of a bond exchange-traded fund registered under the Investment Company Act of 1940 (15 U.S.C. Section 80a-1 et seq.), as amended,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securities valuation office has designated the exchange-traded fund as meeting the criteria to be placed on the list promulgated by the securities valuation office of exchange-traded funds eligible for reporting as a statutory long-term bond obligation on Internal Revenue Service Form 1040, Schedule 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insurance company's investment in the exchange-traded fund does not exceed the investment amount limit in Section 425.157(b).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 may deposit with the department shares of a bond exchange-traded fund described by Subsection (a) as a statutory deposit if state law requires a statutory deposit from the insurance company.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bond exchange-traded fund described by Subsection (a) shall be considered a business entity for purposes of Section 425.110.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