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1512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political subdivision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 Transportation Code, is amended by adding Subsections (a-4) and (e)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is a political subdivision or is owned or operated by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not be able to receive a state infrastructure bank loan under Subchapter D, Chapter 222, to finance the cost of the relocation and is otherwise unable to finance that cost;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political subdivision or is owned or operated by a political subdivision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population of less than 5,000;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amount paid by the department for the relocation of utility facilities under Subsection (a-4) may not exceed $10 million in any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