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86R11463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suspension of annuity payments for certain former legislators engaged in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812, Government Code, is amended by adding Subchapter D to read as follows:</w:t>
      </w:r>
    </w:p>
    <w:p w:rsidR="003F3435" w:rsidRDefault="0032493E">
      <w:pPr>
        <w:spacing w:line="480" w:lineRule="auto"/>
        <w:jc w:val="center"/>
      </w:pPr>
      <w:r>
        <w:rPr>
          <w:u w:val="single"/>
        </w:rPr>
        <w:t xml:space="preserve">SUBCHAPTER D.  LOBBYING BY CERTAIN RETIREES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812.301.</w:t>
      </w:r>
      <w:r>
        <w:rPr>
          <w:u w:val="single"/>
        </w:rPr>
        <w:t xml:space="preserve"> </w:t>
      </w:r>
      <w:r>
        <w:rPr>
          <w:u w:val="single"/>
        </w:rPr>
        <w:t xml:space="preserve"> </w:t>
      </w:r>
      <w:r>
        <w:rPr>
          <w:u w:val="single"/>
        </w:rPr>
        <w:t xml:space="preserve">BENEFITS AFFECTED.  (a)  If a retiree who accrued service credit in the retirement system as a member of the legislature engages in lobbying activities that require registration under Chapter 305, the retirement system shall suspend annuity payments to the retiree until the retiree ceases to engage in lobbying activities and files a notice of termination as prescribed by Section 305.008.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812.301, Government Code, as added by this Act, applies only to a retiree who registers under Chapter 305, Government Code, on or after the effective date of this Act. </w:t>
      </w:r>
      <w:r>
        <w:t xml:space="preserve"> </w:t>
      </w:r>
      <w:r>
        <w:t xml:space="preserve">A retiree who registers under Chapter 305, Government Code,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