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1527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the holder of a brewpub license to sell beer, ale, and malt liquor to certain qualified persons outside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74.09(a),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74.01, the holder of a brewpub license may sell beer produced under the license to the holder of a general, local, or branch distributor's license </w:t>
      </w:r>
      <w:r>
        <w:rPr>
          <w:u w:val="single"/>
        </w:rPr>
        <w:t xml:space="preserve">or to qualified persons outside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74.10(a),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74.01, the holder of a brewpub license may sell ale and malt liquor to the holder of a </w:t>
      </w:r>
      <w:r>
        <w:rPr>
          <w:u w:val="single"/>
        </w:rPr>
        <w:t xml:space="preserve">wholesaler's permit, a general class B wholesaler's permit, or a</w:t>
      </w:r>
      <w:r>
        <w:t xml:space="preserve"> local class B wholesaler's permit </w:t>
      </w:r>
      <w:r>
        <w:rPr>
          <w:u w:val="single"/>
        </w:rPr>
        <w:t xml:space="preserve">or to qualified persons outside the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