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86R9603 KKR-F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1533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delegation by a podiatrist of certain acts to certain podiatric assistants; authorizing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202, Occupations Code, is amended by adding Section 202.354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202.354.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DELEGATION OF CERTAIN ACTS.  (a)  A podiatrist may delegate to a qualified and properly trained podiatric medical assistant acting under the podiatrist's supervision any podiatric medical act that a reasonable and prudent podiatrist would find within the scope of sound medical judgment to delegate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opinion of the delegating podiatrist, the medical act: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 be properly and safely performed by the podiatric medical assistant to whom the podiatric medical act is delegated;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performed in a customary manner and not in violation of any other statute;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podiatric medical assistant to whom the podiatric medical act is delegated does not represent to the public that the medical assistant is authorized to practice podiatry.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delegating podiatrist is responsible for a podiatric medical act performed by the podiatric medical assistant to whom the podiatrist delegates the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601, Occupations Code, is amended by adding Section 601.157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601.157.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PERSON SUPERVISED BY PODIATRIST.  A person is not required to hold a certificate issued under this chapter to perform a radiologic procedure if: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procedure is performed under the supervision of a podiatrist;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person: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registered with the Texas Department of Licensing and Regulation to assist a podiatrist;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complies with rules adopted under Section 601.252(e).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601.251,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601.251.</w:t>
      </w:r>
      <w:r xml:space="preserve">
        <w:t> </w:t>
      </w:r>
      <w:r xml:space="preserve">
        <w:t> </w:t>
      </w:r>
      <w:r>
        <w:t xml:space="preserve">APPLICABILITY.  This subchapter applies to the: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Texas Board of Nursing;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Texas Board of Chiropractic Examiners;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State Board of Dental Examiners;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Texas Medical Board;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Texas </w:t>
      </w:r>
      <w:r>
        <w:rPr>
          <w:u w:val="single"/>
        </w:rPr>
        <w:t xml:space="preserve">Department of Licensing and Regulation, with respect to the department's authority to regulate podiatrists</w:t>
      </w:r>
      <w:r>
        <w:t xml:space="preserve"> [</w:t>
      </w:r>
      <w:r>
        <w:rPr>
          <w:strike/>
        </w:rPr>
        <w:t xml:space="preserve">State Board of Podiatric Medical Examiners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Texas Physician Assistant Board.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601.252, Occupations Code, is amended by adding Subsections (e) and (f)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 adopted under this section by the Texas Commission of Licensing and Regulation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 an authorized person who performs radiologic procedures under the delegation of a podiatrist, other than a registered nurse, to register with the Texas Department of Licensing and Regulation;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reasonable and necessary fees to cover the administrative costs incurred by the Texas Department of Licensing and Regulation in administering a registration program created under this subsection;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grounds for the suspension, revocation, or nonrenewal of a registration issued under this subsection;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 standards, in addition to those required by this chapter, for training and supervising the operators of the equipment.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adopting rules under Subsection (e), the Texas Commission of Licensing and Regulation may take into account whether the radiologic procedure will be performed by a registered nurse.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To the extent of any conflict, this Act prevails over another Act of the 86th Legislature, Regular Session, 2019, relating to nonsubstantive additions to and corrections in enacted codes.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