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86R4713 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1536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authorizing a public institution of higher education to include certain textbook costs in the institution's charge for tuition or required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54, Education Code, is amended by adding Section 54.019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54.019.</w:t>
      </w:r>
      <w:r>
        <w:rPr>
          <w:u w:val="single"/>
        </w:rPr>
        <w:t xml:space="preserve"> </w:t>
      </w:r>
      <w:r>
        <w:rPr>
          <w:u w:val="single"/>
        </w:rPr>
        <w:t xml:space="preserve"> </w:t>
      </w:r>
      <w:r>
        <w:rPr>
          <w:u w:val="single"/>
        </w:rPr>
        <w:t xml:space="preserve">INCLUSION OF CERTAIN TEXTBOOK COSTS IN TUITION OR FEES CHARGE.  (a) </w:t>
      </w:r>
      <w:r>
        <w:rPr>
          <w:u w:val="single"/>
        </w:rPr>
        <w:t xml:space="preserve"> </w:t>
      </w:r>
      <w:r>
        <w:rPr>
          <w:u w:val="single"/>
        </w:rPr>
        <w:t xml:space="preserve">The governing board of an institution of higher education may establish in accordance with this section a textbook affordability program under which the institution may include the cost of any textbooks or other materials required for a course in the tuition or required fees charged by the institution for the course.  The institution may establish the program only if, in accordance with 34 C.F.R. Section 668.164(c)(2), the institution: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enters into an agreement with a book publisher or other entity to make those textbooks or materials available to students at below competitive market rates;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students a means of obtaining those textbooks or materials not later than the seventh day of the semester or other term in which the textbooks or materials are required;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adopts a policy under which a student may opt out of having the cost of those textbooks or materials included in the tuition or required fees charged to the student.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cost of textbooks or other materials included in an institution of higher education's charge for tuition or required fees under Subsection (a) is not subject to a limitation placed on the amount of a fee under this chapter or any other provision of this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Texas Higher Education Coordinating Board may adopt rules for the administration of a textbook affordability program established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beginning with the 2019 fall semester.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