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2019S0207-1  02/13/19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requirements regarding child abuse and neglect, including the offense of failure to report abuse or neglect of a child;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261.101(a),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having cause to believe that a child's physical or mental health or welfare has been adversely affected by abuse or neglect by any person shall [</w:t>
      </w:r>
      <w:r>
        <w:rPr>
          <w:strike/>
        </w:rPr>
        <w:t xml:space="preserve">immediately</w:t>
      </w:r>
      <w:r>
        <w:t xml:space="preserve">] make a report as provided by this subchapter </w:t>
      </w:r>
      <w:r>
        <w:rPr>
          <w:u w:val="single"/>
        </w:rPr>
        <w:t xml:space="preserve">not later than the 72nd hour after the hour the person first suspects that the child's physical or mental health or welfare has been adversely affected by abuse or neglect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261.109, Family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Subsections (b-1) and (b-2), an</w:t>
      </w:r>
      <w:r>
        <w:t xml:space="preserve"> [</w:t>
      </w:r>
      <w:r>
        <w:rPr>
          <w:strike/>
        </w:rPr>
        <w:t xml:space="preserve">An</w:t>
      </w:r>
      <w:r>
        <w:t xml:space="preserve">] offense under Subsection (a) is a Class A misdemeanor</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Subsection (a)</w:t>
      </w:r>
      <w:r>
        <w:t xml:space="preserve">[</w:t>
      </w:r>
      <w:r>
        <w:rPr>
          <w:strike/>
        </w:rPr>
        <w:t xml:space="preserve">, except that the offense</w:t>
      </w:r>
      <w:r>
        <w:t xml:space="preserve">] is a state jail felony if it is shown on the trial of the offense that the child was a person with an intellectual disability who resided in a state supported living center, the ICF-IID component of the Rio Grande State Center, or a facility licensed under Chapter 252, Health and Safety Code, and the actor knew that the child had suffered serious bodily injury as a result of the abuse or neglect.</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offense under Subsection (a) is a state jail felony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the offense the person had cause to believe that the child had suffered significant bodily injury as a result of the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suffered significant bodily injury as a result of the abuse or neglect.</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For purposes of Subsection (b-2), "significant bodily injury" means an injury that results in an impairment to bodily function, or in a dysfunction of any bodily organ or part, that would cause a reasonably prudent person to seek treatment from a medical professional.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