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1543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notice requirements regarding the right to record certain interviews conducted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REGARDING RECORDING OF INVESTIGATIVE INTERVIEWS.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all investigations conducted by the department, including investigations conducted by the adult protective services division and the child protective services 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before a department employee conducts an interview as part of a department investigation, the employee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orally notify the person who is the subject of the interview that the person has the right to record the interview using an audio recording device;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written verification from the person who is the subject of the interview that the department employee provided the notice required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 employee is not required to provide the notice described by Subsection (b)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alleged victim of self-neglect;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the department employee suspects is incapacitated.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