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86R4524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  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nonpublic hospitals available through the delivery system reform incentive payment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(B), or (C);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The annual amount of revenue from mandatory payments that shall be paid for administrative expenses of the program by the district may not exceed 2.5 percent of the total revenue generated from the mandatory payments,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298F.103(c)(1)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