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86R4233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school district policies regarding the marketing and commercial advertising of food products on school district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 Education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local school health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review of the school district policies regarding the marketing and commercial advertising on district property of food products that are not offered through the school meal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extent to which the marketing and commercial advertising on district property of food products that are not offered through the school meal program conflict with recommendations developed by the council as required by Subsection (c)(2);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policies, procedures, strategies, and curricula for the district to diminish the negative health consequences, including obesity, cardiovascular disease, and Type 2 diabetes, related to the marketing and commercial advertising on district property of food products that are not offered through the school meal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extent to which marketing and commercial advertising on district property of food products that are not offered through the school meal program should be allowed.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